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421225" w:rsidRDefault="00E77CB3" w:rsidP="00421225">
      <w:pPr>
        <w:jc w:val="center"/>
        <w:rPr>
          <w:lang w:val="fr-FR"/>
        </w:rPr>
      </w:pPr>
      <w:bookmarkStart w:id="0" w:name="_GoBack"/>
      <w:bookmarkEnd w:id="0"/>
    </w:p>
    <w:p w:rsidR="00067925" w:rsidRPr="00421225" w:rsidRDefault="00067925" w:rsidP="00421225">
      <w:pPr>
        <w:jc w:val="center"/>
        <w:rPr>
          <w:lang w:val="fr-FR"/>
        </w:rPr>
      </w:pPr>
    </w:p>
    <w:p w:rsidR="00067925" w:rsidRPr="00421225" w:rsidRDefault="00067925" w:rsidP="00421225">
      <w:pPr>
        <w:jc w:val="center"/>
        <w:rPr>
          <w:lang w:val="fr-FR"/>
        </w:rPr>
      </w:pPr>
    </w:p>
    <w:p w:rsidR="00E77CB3" w:rsidRPr="00421225" w:rsidRDefault="006B4C8A" w:rsidP="00421225">
      <w:pPr>
        <w:jc w:val="center"/>
        <w:rPr>
          <w:lang w:val="fr-FR"/>
        </w:rPr>
      </w:pPr>
      <w:r w:rsidRPr="00421225">
        <w:rPr>
          <w:lang w:val="fr-FR"/>
        </w:rPr>
        <w:t>PREMIÈRE SECTION</w:t>
      </w:r>
    </w:p>
    <w:p w:rsidR="00E77CB3" w:rsidRPr="00421225" w:rsidRDefault="00E77CB3" w:rsidP="00421225">
      <w:pPr>
        <w:jc w:val="center"/>
        <w:rPr>
          <w:lang w:val="fr-FR"/>
        </w:rPr>
      </w:pPr>
    </w:p>
    <w:p w:rsidR="00067925" w:rsidRPr="00421225" w:rsidRDefault="00067925" w:rsidP="00421225">
      <w:pPr>
        <w:jc w:val="center"/>
        <w:rPr>
          <w:lang w:val="fr-FR"/>
        </w:rPr>
      </w:pPr>
    </w:p>
    <w:p w:rsidR="00067925" w:rsidRPr="00421225" w:rsidRDefault="00067925" w:rsidP="00421225">
      <w:pPr>
        <w:jc w:val="center"/>
        <w:rPr>
          <w:lang w:val="fr-FR"/>
        </w:rPr>
      </w:pPr>
    </w:p>
    <w:p w:rsidR="00067925" w:rsidRPr="00421225" w:rsidRDefault="00067925" w:rsidP="00421225">
      <w:pPr>
        <w:jc w:val="center"/>
        <w:rPr>
          <w:lang w:val="fr-FR"/>
        </w:rPr>
      </w:pPr>
    </w:p>
    <w:p w:rsidR="00421225" w:rsidRPr="00421225" w:rsidRDefault="00421225" w:rsidP="00421225">
      <w:pPr>
        <w:jc w:val="center"/>
        <w:rPr>
          <w:lang w:val="fr-FR"/>
        </w:rPr>
      </w:pPr>
    </w:p>
    <w:p w:rsidR="00067925" w:rsidRPr="00421225" w:rsidRDefault="00067925" w:rsidP="00421225">
      <w:pPr>
        <w:jc w:val="center"/>
        <w:rPr>
          <w:lang w:val="fr-FR"/>
        </w:rPr>
      </w:pPr>
    </w:p>
    <w:p w:rsidR="00067925" w:rsidRPr="00421225" w:rsidRDefault="00067925" w:rsidP="00421225">
      <w:pPr>
        <w:jc w:val="center"/>
        <w:rPr>
          <w:lang w:val="fr-FR"/>
        </w:rPr>
      </w:pPr>
    </w:p>
    <w:p w:rsidR="00E77CB3" w:rsidRPr="00421225" w:rsidRDefault="00E77CB3" w:rsidP="00421225">
      <w:pPr>
        <w:jc w:val="center"/>
        <w:rPr>
          <w:b/>
          <w:lang w:val="fr-FR"/>
        </w:rPr>
      </w:pPr>
      <w:bookmarkStart w:id="1" w:name="To"/>
      <w:r w:rsidRPr="00421225">
        <w:rPr>
          <w:b/>
          <w:lang w:val="fr-FR"/>
        </w:rPr>
        <w:t xml:space="preserve">AFFAIRE </w:t>
      </w:r>
      <w:bookmarkEnd w:id="1"/>
      <w:r w:rsidR="006B4C8A" w:rsidRPr="00421225">
        <w:rPr>
          <w:b/>
          <w:lang w:val="fr-FR"/>
        </w:rPr>
        <w:t>BEN MOUMEN c. ITALIE</w:t>
      </w:r>
    </w:p>
    <w:p w:rsidR="00E77CB3" w:rsidRPr="00421225" w:rsidRDefault="00E77CB3" w:rsidP="00421225">
      <w:pPr>
        <w:jc w:val="center"/>
        <w:rPr>
          <w:lang w:val="fr-FR"/>
        </w:rPr>
      </w:pPr>
    </w:p>
    <w:p w:rsidR="00067925" w:rsidRPr="00421225" w:rsidRDefault="00E77CB3" w:rsidP="00421225">
      <w:pPr>
        <w:jc w:val="center"/>
        <w:rPr>
          <w:sz w:val="22"/>
          <w:lang w:val="fr-FR"/>
        </w:rPr>
      </w:pPr>
      <w:r w:rsidRPr="00421225">
        <w:rPr>
          <w:i/>
          <w:lang w:val="fr-FR"/>
        </w:rPr>
        <w:t>(</w:t>
      </w:r>
      <w:r w:rsidR="006B4C8A" w:rsidRPr="00421225">
        <w:rPr>
          <w:i/>
          <w:lang w:val="fr-FR"/>
        </w:rPr>
        <w:t>Requête n</w:t>
      </w:r>
      <w:r w:rsidR="006B4C8A" w:rsidRPr="00421225">
        <w:rPr>
          <w:i/>
          <w:vertAlign w:val="superscript"/>
          <w:lang w:val="fr-FR"/>
        </w:rPr>
        <w:t>o</w:t>
      </w:r>
      <w:r w:rsidR="006B4C8A" w:rsidRPr="00421225">
        <w:rPr>
          <w:i/>
          <w:lang w:val="fr-FR"/>
        </w:rPr>
        <w:t xml:space="preserve"> 3977/13</w:t>
      </w:r>
      <w:r w:rsidRPr="00421225">
        <w:rPr>
          <w:i/>
          <w:lang w:val="fr-FR"/>
        </w:rPr>
        <w:t>)</w:t>
      </w: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 w:val="22"/>
          <w:lang w:val="fr-FR"/>
        </w:rPr>
      </w:pPr>
    </w:p>
    <w:p w:rsidR="00067925" w:rsidRPr="00421225" w:rsidRDefault="00067925" w:rsidP="00421225">
      <w:pPr>
        <w:jc w:val="center"/>
        <w:rPr>
          <w:szCs w:val="24"/>
          <w:lang w:val="fr-FR"/>
        </w:rPr>
      </w:pPr>
      <w:r w:rsidRPr="00421225">
        <w:rPr>
          <w:szCs w:val="24"/>
          <w:lang w:val="fr-FR"/>
        </w:rPr>
        <w:t>ARRÊT</w:t>
      </w:r>
    </w:p>
    <w:p w:rsidR="00920ECD" w:rsidRPr="00421225" w:rsidRDefault="00920ECD" w:rsidP="00421225">
      <w:pPr>
        <w:jc w:val="center"/>
        <w:rPr>
          <w:sz w:val="22"/>
          <w:lang w:val="fr-FR"/>
        </w:rPr>
      </w:pPr>
    </w:p>
    <w:p w:rsidR="006B4C8A" w:rsidRPr="00421225" w:rsidRDefault="006B4C8A" w:rsidP="00421225">
      <w:pPr>
        <w:jc w:val="center"/>
        <w:rPr>
          <w:sz w:val="22"/>
          <w:lang w:val="fr-FR"/>
        </w:rPr>
      </w:pPr>
    </w:p>
    <w:p w:rsidR="00067925" w:rsidRPr="00421225" w:rsidRDefault="00067925" w:rsidP="00421225">
      <w:pPr>
        <w:pStyle w:val="ECHRPara"/>
        <w:ind w:firstLine="0"/>
        <w:jc w:val="center"/>
        <w:rPr>
          <w:lang w:val="fr-FR"/>
        </w:rPr>
      </w:pPr>
      <w:r w:rsidRPr="00421225">
        <w:rPr>
          <w:lang w:val="fr-FR"/>
        </w:rPr>
        <w:t>STRASBOURG</w:t>
      </w:r>
    </w:p>
    <w:p w:rsidR="00067925" w:rsidRPr="00421225" w:rsidRDefault="00067925" w:rsidP="00421225">
      <w:pPr>
        <w:pStyle w:val="ECHRPara"/>
        <w:jc w:val="center"/>
        <w:rPr>
          <w:lang w:val="fr-FR"/>
        </w:rPr>
      </w:pPr>
    </w:p>
    <w:p w:rsidR="00067925" w:rsidRPr="00421225" w:rsidRDefault="00067925" w:rsidP="00421225">
      <w:pPr>
        <w:pStyle w:val="ECHRPara"/>
        <w:ind w:firstLine="0"/>
        <w:jc w:val="center"/>
        <w:rPr>
          <w:lang w:val="fr-FR"/>
        </w:rPr>
      </w:pPr>
      <w:r w:rsidRPr="00421225">
        <w:rPr>
          <w:lang w:val="fr-FR"/>
        </w:rPr>
        <w:t>23 juin 2016</w:t>
      </w:r>
    </w:p>
    <w:p w:rsidR="00067925" w:rsidRPr="00421225" w:rsidRDefault="00067925" w:rsidP="00421225">
      <w:pPr>
        <w:pStyle w:val="ECHRPara"/>
        <w:jc w:val="center"/>
        <w:rPr>
          <w:lang w:val="fr-FR"/>
        </w:rPr>
      </w:pPr>
    </w:p>
    <w:p w:rsidR="00067925" w:rsidRPr="00421225" w:rsidRDefault="00067925" w:rsidP="00421225">
      <w:pPr>
        <w:pStyle w:val="ECHRPara"/>
        <w:jc w:val="center"/>
        <w:rPr>
          <w:lang w:val="fr-FR"/>
        </w:rPr>
      </w:pPr>
    </w:p>
    <w:p w:rsidR="00067925" w:rsidRPr="00421225" w:rsidRDefault="00067925" w:rsidP="00421225">
      <w:pPr>
        <w:pStyle w:val="ECHRPara"/>
        <w:jc w:val="center"/>
        <w:rPr>
          <w:lang w:val="fr-FR"/>
        </w:rPr>
      </w:pPr>
    </w:p>
    <w:p w:rsidR="005536D0" w:rsidRPr="00421225" w:rsidRDefault="005536D0" w:rsidP="00421225">
      <w:pPr>
        <w:pStyle w:val="ECHRPara"/>
        <w:jc w:val="center"/>
        <w:rPr>
          <w:lang w:val="fr-FR"/>
        </w:rPr>
      </w:pPr>
    </w:p>
    <w:p w:rsidR="008350C2" w:rsidRPr="00421225" w:rsidRDefault="008350C2" w:rsidP="00421225">
      <w:pPr>
        <w:pStyle w:val="ECHRPara"/>
        <w:ind w:firstLine="0"/>
        <w:jc w:val="left"/>
        <w:rPr>
          <w:i/>
          <w:sz w:val="22"/>
          <w:lang w:val="fr-FR"/>
        </w:rPr>
      </w:pPr>
    </w:p>
    <w:p w:rsidR="00067925" w:rsidRPr="00421225" w:rsidRDefault="00067925" w:rsidP="00421225">
      <w:pPr>
        <w:pStyle w:val="ECHRPara"/>
        <w:ind w:firstLine="0"/>
        <w:jc w:val="left"/>
        <w:rPr>
          <w:i/>
          <w:sz w:val="22"/>
          <w:lang w:val="fr-FR"/>
        </w:rPr>
      </w:pPr>
      <w:r w:rsidRPr="00421225">
        <w:rPr>
          <w:i/>
          <w:sz w:val="22"/>
          <w:lang w:val="fr-FR"/>
        </w:rPr>
        <w:t>Cet arrêt deviendra définitif dans les conditions définies à l</w:t>
      </w:r>
      <w:r w:rsidR="00421225" w:rsidRPr="00421225">
        <w:rPr>
          <w:i/>
          <w:sz w:val="22"/>
          <w:lang w:val="fr-FR"/>
        </w:rPr>
        <w:t>’</w:t>
      </w:r>
      <w:r w:rsidRPr="00421225">
        <w:rPr>
          <w:i/>
          <w:sz w:val="22"/>
          <w:lang w:val="fr-FR"/>
        </w:rPr>
        <w:t>article 44 § 2 de la Convention. Il peut subir des retouches de forme.</w:t>
      </w:r>
    </w:p>
    <w:p w:rsidR="00421225" w:rsidRPr="00421225" w:rsidRDefault="00421225" w:rsidP="00421225">
      <w:pPr>
        <w:pStyle w:val="ECHRPara"/>
        <w:ind w:firstLine="0"/>
        <w:jc w:val="left"/>
        <w:rPr>
          <w:i/>
          <w:sz w:val="22"/>
          <w:lang w:val="fr-FR"/>
        </w:rPr>
      </w:pPr>
    </w:p>
    <w:p w:rsidR="00421225" w:rsidRPr="00421225" w:rsidRDefault="00421225" w:rsidP="00421225">
      <w:pPr>
        <w:pStyle w:val="ECHRPara"/>
        <w:ind w:firstLine="0"/>
        <w:jc w:val="left"/>
        <w:rPr>
          <w:lang w:val="fr-FR"/>
        </w:rPr>
        <w:sectPr w:rsidR="00421225" w:rsidRPr="00421225" w:rsidSect="00067925">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421225" w:rsidRDefault="00E77CB3" w:rsidP="00421225">
      <w:pPr>
        <w:pStyle w:val="JuCase"/>
        <w:rPr>
          <w:lang w:val="fr-FR"/>
        </w:rPr>
      </w:pPr>
      <w:r w:rsidRPr="00421225">
        <w:rPr>
          <w:lang w:val="fr-FR"/>
        </w:rPr>
        <w:lastRenderedPageBreak/>
        <w:t>En l</w:t>
      </w:r>
      <w:r w:rsidR="00421225" w:rsidRPr="00421225">
        <w:rPr>
          <w:lang w:val="fr-FR"/>
        </w:rPr>
        <w:t>’</w:t>
      </w:r>
      <w:r w:rsidRPr="00421225">
        <w:rPr>
          <w:lang w:val="fr-FR"/>
        </w:rPr>
        <w:t xml:space="preserve">affaire </w:t>
      </w:r>
      <w:r w:rsidR="006B4C8A" w:rsidRPr="00421225">
        <w:rPr>
          <w:lang w:val="fr-FR"/>
        </w:rPr>
        <w:t>Ben Moumen c. Italie</w:t>
      </w:r>
      <w:r w:rsidRPr="00421225">
        <w:rPr>
          <w:lang w:val="fr-FR"/>
        </w:rPr>
        <w:t>,</w:t>
      </w:r>
    </w:p>
    <w:p w:rsidR="00E77CB3" w:rsidRPr="00421225" w:rsidRDefault="00E77CB3" w:rsidP="00421225">
      <w:pPr>
        <w:pStyle w:val="ECHRPara"/>
        <w:rPr>
          <w:lang w:val="fr-FR"/>
        </w:rPr>
      </w:pPr>
      <w:r w:rsidRPr="00421225">
        <w:rPr>
          <w:lang w:val="fr-FR"/>
        </w:rPr>
        <w:t>La Cour européenne des droits de l</w:t>
      </w:r>
      <w:r w:rsidR="00421225" w:rsidRPr="00421225">
        <w:rPr>
          <w:lang w:val="fr-FR"/>
        </w:rPr>
        <w:t>’</w:t>
      </w:r>
      <w:r w:rsidRPr="00421225">
        <w:rPr>
          <w:lang w:val="fr-FR"/>
        </w:rPr>
        <w:t>homme (</w:t>
      </w:r>
      <w:r w:rsidR="006B4C8A" w:rsidRPr="00421225">
        <w:rPr>
          <w:lang w:val="fr-FR"/>
        </w:rPr>
        <w:t>première section</w:t>
      </w:r>
      <w:r w:rsidRPr="00421225">
        <w:rPr>
          <w:lang w:val="fr-FR"/>
        </w:rPr>
        <w:t xml:space="preserve">), siégeant en </w:t>
      </w:r>
      <w:r w:rsidR="006B4C8A" w:rsidRPr="00421225">
        <w:rPr>
          <w:lang w:val="fr-FR"/>
        </w:rPr>
        <w:t>une chambre composée</w:t>
      </w:r>
      <w:r w:rsidRPr="00421225">
        <w:rPr>
          <w:lang w:val="fr-FR"/>
        </w:rPr>
        <w:t xml:space="preserve"> de :</w:t>
      </w:r>
    </w:p>
    <w:p w:rsidR="00E77CB3" w:rsidRPr="00421225" w:rsidRDefault="00284F08" w:rsidP="00421225">
      <w:pPr>
        <w:pStyle w:val="ECHRDecisionBody"/>
        <w:rPr>
          <w:lang w:val="fr-FR"/>
        </w:rPr>
      </w:pPr>
      <w:r w:rsidRPr="00421225">
        <w:rPr>
          <w:lang w:val="fr-FR"/>
        </w:rPr>
        <w:tab/>
        <w:t>Mirjana Lazarova Trajkovska,</w:t>
      </w:r>
      <w:r w:rsidRPr="00421225">
        <w:rPr>
          <w:i/>
          <w:lang w:val="fr-FR"/>
        </w:rPr>
        <w:t xml:space="preserve"> présidente,</w:t>
      </w:r>
      <w:r w:rsidRPr="00421225">
        <w:rPr>
          <w:i/>
          <w:lang w:val="fr-FR"/>
        </w:rPr>
        <w:br/>
      </w:r>
      <w:r w:rsidRPr="00421225">
        <w:rPr>
          <w:lang w:val="fr-FR"/>
        </w:rPr>
        <w:tab/>
        <w:t>Ledi Bianku,</w:t>
      </w:r>
      <w:r w:rsidRPr="00421225">
        <w:rPr>
          <w:i/>
          <w:lang w:val="fr-FR"/>
        </w:rPr>
        <w:br/>
      </w:r>
      <w:r w:rsidRPr="00421225">
        <w:rPr>
          <w:lang w:val="fr-FR"/>
        </w:rPr>
        <w:tab/>
        <w:t>Guido Raimondi,</w:t>
      </w:r>
      <w:r w:rsidRPr="00421225">
        <w:rPr>
          <w:i/>
          <w:lang w:val="fr-FR"/>
        </w:rPr>
        <w:br/>
      </w:r>
      <w:r w:rsidRPr="00421225">
        <w:rPr>
          <w:lang w:val="fr-FR"/>
        </w:rPr>
        <w:tab/>
        <w:t>Kristina Pardalos,</w:t>
      </w:r>
      <w:r w:rsidRPr="00421225">
        <w:rPr>
          <w:i/>
          <w:lang w:val="fr-FR"/>
        </w:rPr>
        <w:br/>
      </w:r>
      <w:r w:rsidRPr="00421225">
        <w:rPr>
          <w:lang w:val="fr-FR"/>
        </w:rPr>
        <w:tab/>
        <w:t>Paul Mahoney,</w:t>
      </w:r>
      <w:r w:rsidRPr="00421225">
        <w:rPr>
          <w:i/>
          <w:lang w:val="fr-FR"/>
        </w:rPr>
        <w:br/>
      </w:r>
      <w:r w:rsidRPr="00421225">
        <w:rPr>
          <w:lang w:val="fr-FR"/>
        </w:rPr>
        <w:tab/>
        <w:t>Aleš Pejchal,</w:t>
      </w:r>
      <w:r w:rsidRPr="00421225">
        <w:rPr>
          <w:i/>
          <w:lang w:val="fr-FR"/>
        </w:rPr>
        <w:br/>
      </w:r>
      <w:r w:rsidRPr="00421225">
        <w:rPr>
          <w:lang w:val="fr-FR"/>
        </w:rPr>
        <w:tab/>
        <w:t>Pauliine Koskelo,</w:t>
      </w:r>
      <w:r w:rsidRPr="00421225">
        <w:rPr>
          <w:i/>
          <w:lang w:val="fr-FR"/>
        </w:rPr>
        <w:t xml:space="preserve"> juges,</w:t>
      </w:r>
      <w:r w:rsidR="00E77CB3" w:rsidRPr="00421225">
        <w:rPr>
          <w:lang w:val="fr-FR"/>
        </w:rPr>
        <w:br/>
        <w:t>et de</w:t>
      </w:r>
      <w:r w:rsidR="006B4C8A" w:rsidRPr="00421225">
        <w:rPr>
          <w:lang w:val="fr-FR"/>
        </w:rPr>
        <w:t xml:space="preserve"> </w:t>
      </w:r>
      <w:r w:rsidR="00682194" w:rsidRPr="00421225">
        <w:rPr>
          <w:lang w:val="fr-FR"/>
        </w:rPr>
        <w:t>Abel Campos</w:t>
      </w:r>
      <w:r w:rsidR="00E77CB3" w:rsidRPr="00421225">
        <w:rPr>
          <w:lang w:val="fr-FR"/>
        </w:rPr>
        <w:t xml:space="preserve">, </w:t>
      </w:r>
      <w:r w:rsidR="006B4C8A" w:rsidRPr="00421225">
        <w:rPr>
          <w:i/>
          <w:lang w:val="fr-FR"/>
        </w:rPr>
        <w:t>greffi</w:t>
      </w:r>
      <w:r w:rsidR="002D68D3" w:rsidRPr="00421225">
        <w:rPr>
          <w:i/>
          <w:lang w:val="fr-FR"/>
        </w:rPr>
        <w:t>er</w:t>
      </w:r>
      <w:r w:rsidR="006B4C8A" w:rsidRPr="00421225">
        <w:rPr>
          <w:iCs/>
          <w:lang w:val="fr-FR"/>
        </w:rPr>
        <w:t xml:space="preserve"> </w:t>
      </w:r>
      <w:r w:rsidR="006B4C8A" w:rsidRPr="00421225">
        <w:rPr>
          <w:i/>
          <w:iCs/>
          <w:lang w:val="fr-FR"/>
        </w:rPr>
        <w:t>d</w:t>
      </w:r>
      <w:r w:rsidR="006B4C8A" w:rsidRPr="00421225">
        <w:rPr>
          <w:i/>
          <w:lang w:val="fr-FR"/>
        </w:rPr>
        <w:t>e section</w:t>
      </w:r>
      <w:r w:rsidR="00E77CB3" w:rsidRPr="00421225">
        <w:rPr>
          <w:lang w:val="fr-FR"/>
        </w:rPr>
        <w:t>,</w:t>
      </w:r>
    </w:p>
    <w:p w:rsidR="00E77CB3" w:rsidRPr="00421225" w:rsidRDefault="00E77CB3" w:rsidP="00421225">
      <w:pPr>
        <w:pStyle w:val="ECHRPara"/>
        <w:rPr>
          <w:lang w:val="fr-FR"/>
        </w:rPr>
      </w:pPr>
      <w:r w:rsidRPr="00421225">
        <w:rPr>
          <w:lang w:val="fr-FR"/>
        </w:rPr>
        <w:t xml:space="preserve">Après en avoir délibéré en chambre du conseil le </w:t>
      </w:r>
      <w:r w:rsidR="00284F08" w:rsidRPr="00421225">
        <w:rPr>
          <w:lang w:val="fr-FR"/>
        </w:rPr>
        <w:t>31 mai 2016</w:t>
      </w:r>
      <w:r w:rsidRPr="00421225">
        <w:rPr>
          <w:lang w:val="fr-FR"/>
        </w:rPr>
        <w:t>,</w:t>
      </w:r>
    </w:p>
    <w:p w:rsidR="00E77CB3" w:rsidRPr="00421225" w:rsidRDefault="00E77CB3" w:rsidP="00421225">
      <w:pPr>
        <w:pStyle w:val="ECHRPara"/>
        <w:rPr>
          <w:lang w:val="fr-FR"/>
        </w:rPr>
      </w:pPr>
      <w:r w:rsidRPr="00421225">
        <w:rPr>
          <w:lang w:val="fr-FR"/>
        </w:rPr>
        <w:t>Rend l</w:t>
      </w:r>
      <w:r w:rsidR="00421225" w:rsidRPr="00421225">
        <w:rPr>
          <w:lang w:val="fr-FR"/>
        </w:rPr>
        <w:t>’</w:t>
      </w:r>
      <w:r w:rsidRPr="00421225">
        <w:rPr>
          <w:lang w:val="fr-FR"/>
        </w:rPr>
        <w:t>arrêt que voici, adopté à cette date :</w:t>
      </w:r>
    </w:p>
    <w:p w:rsidR="00E77CB3" w:rsidRPr="00421225" w:rsidRDefault="00E77CB3" w:rsidP="00421225">
      <w:pPr>
        <w:pStyle w:val="ECHRTitle1"/>
        <w:rPr>
          <w:lang w:val="fr-FR"/>
        </w:rPr>
      </w:pPr>
      <w:r w:rsidRPr="00421225">
        <w:rPr>
          <w:lang w:val="fr-FR"/>
        </w:rPr>
        <w:t>PROCÉDURE</w:t>
      </w:r>
    </w:p>
    <w:p w:rsidR="00E77CB3"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w:t>
      </w:r>
      <w:r w:rsidRPr="00421225">
        <w:rPr>
          <w:lang w:val="fr-FR"/>
        </w:rPr>
        <w:fldChar w:fldCharType="end"/>
      </w:r>
      <w:r w:rsidR="00E77CB3" w:rsidRPr="00421225">
        <w:rPr>
          <w:lang w:val="fr-FR"/>
        </w:rPr>
        <w:t>.  À l</w:t>
      </w:r>
      <w:r w:rsidR="00421225" w:rsidRPr="00421225">
        <w:rPr>
          <w:lang w:val="fr-FR"/>
        </w:rPr>
        <w:t>’</w:t>
      </w:r>
      <w:r w:rsidR="00E77CB3" w:rsidRPr="00421225">
        <w:rPr>
          <w:lang w:val="fr-FR"/>
        </w:rPr>
        <w:t>origine de l</w:t>
      </w:r>
      <w:r w:rsidR="00421225" w:rsidRPr="00421225">
        <w:rPr>
          <w:lang w:val="fr-FR"/>
        </w:rPr>
        <w:t>’</w:t>
      </w:r>
      <w:r w:rsidR="00E77CB3" w:rsidRPr="00421225">
        <w:rPr>
          <w:lang w:val="fr-FR"/>
        </w:rPr>
        <w:t xml:space="preserve">affaire </w:t>
      </w:r>
      <w:r w:rsidRPr="00421225">
        <w:rPr>
          <w:lang w:val="fr-FR"/>
        </w:rPr>
        <w:t>se trouve une requête (n</w:t>
      </w:r>
      <w:r w:rsidRPr="00421225">
        <w:rPr>
          <w:vertAlign w:val="superscript"/>
          <w:lang w:val="fr-FR"/>
        </w:rPr>
        <w:t>o</w:t>
      </w:r>
      <w:r w:rsidRPr="00421225">
        <w:rPr>
          <w:lang w:val="fr-FR"/>
        </w:rPr>
        <w:t xml:space="preserve"> 3977/13) dirigée</w:t>
      </w:r>
      <w:r w:rsidR="00E77CB3" w:rsidRPr="00421225">
        <w:rPr>
          <w:lang w:val="fr-FR"/>
        </w:rPr>
        <w:t xml:space="preserve"> contre </w:t>
      </w:r>
      <w:r w:rsidRPr="00421225">
        <w:rPr>
          <w:lang w:val="fr-FR"/>
        </w:rPr>
        <w:t>la République italienne</w:t>
      </w:r>
      <w:r w:rsidR="00E77CB3" w:rsidRPr="00421225">
        <w:rPr>
          <w:lang w:val="fr-FR"/>
        </w:rPr>
        <w:t xml:space="preserve"> et dont </w:t>
      </w:r>
      <w:r w:rsidRPr="00421225">
        <w:rPr>
          <w:lang w:val="fr-FR"/>
        </w:rPr>
        <w:t>un ressortissant marocain, M. Smail Ben Moumen (« le requérant »), a saisi la Cour le 11 décembre 2012</w:t>
      </w:r>
      <w:r w:rsidR="00E77CB3" w:rsidRPr="00421225">
        <w:rPr>
          <w:lang w:val="fr-FR"/>
        </w:rPr>
        <w:t xml:space="preserve"> en vertu de </w:t>
      </w:r>
      <w:r w:rsidRPr="00421225">
        <w:rPr>
          <w:lang w:val="fr-FR"/>
        </w:rPr>
        <w:t>l</w:t>
      </w:r>
      <w:r w:rsidR="00421225" w:rsidRPr="00421225">
        <w:rPr>
          <w:lang w:val="fr-FR"/>
        </w:rPr>
        <w:t>’</w:t>
      </w:r>
      <w:r w:rsidRPr="00421225">
        <w:rPr>
          <w:lang w:val="fr-FR"/>
        </w:rPr>
        <w:t>article 34</w:t>
      </w:r>
      <w:r w:rsidR="00E77CB3" w:rsidRPr="00421225">
        <w:rPr>
          <w:lang w:val="fr-FR"/>
        </w:rPr>
        <w:t xml:space="preserve"> de la Convention de sauvegarde des droits de l</w:t>
      </w:r>
      <w:r w:rsidR="00421225" w:rsidRPr="00421225">
        <w:rPr>
          <w:lang w:val="fr-FR"/>
        </w:rPr>
        <w:t>’</w:t>
      </w:r>
      <w:r w:rsidR="00E77CB3" w:rsidRPr="00421225">
        <w:rPr>
          <w:lang w:val="fr-FR"/>
        </w:rPr>
        <w:t>homme et des libertés fondamentales (« la Convention »).</w:t>
      </w:r>
    </w:p>
    <w:p w:rsidR="006B4C8A"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w:t>
      </w:r>
      <w:r w:rsidRPr="00421225">
        <w:rPr>
          <w:lang w:val="fr-FR"/>
        </w:rPr>
        <w:fldChar w:fldCharType="end"/>
      </w:r>
      <w:r w:rsidR="00E77CB3" w:rsidRPr="00421225">
        <w:rPr>
          <w:lang w:val="fr-FR"/>
        </w:rPr>
        <w:t>.  </w:t>
      </w:r>
      <w:r w:rsidRPr="00421225">
        <w:rPr>
          <w:lang w:val="fr-FR"/>
        </w:rPr>
        <w:t>Le requérant a été représenté par M</w:t>
      </w:r>
      <w:r w:rsidRPr="00421225">
        <w:rPr>
          <w:vertAlign w:val="superscript"/>
          <w:lang w:val="fr-FR"/>
        </w:rPr>
        <w:t>e</w:t>
      </w:r>
      <w:r w:rsidRPr="00421225">
        <w:rPr>
          <w:lang w:val="fr-FR"/>
        </w:rPr>
        <w:t> A. Toma, avocat à Matino</w:t>
      </w:r>
      <w:r w:rsidR="002D68D3" w:rsidRPr="00421225">
        <w:rPr>
          <w:lang w:val="fr-FR"/>
        </w:rPr>
        <w:t xml:space="preserve"> (Lecce)</w:t>
      </w:r>
      <w:r w:rsidRPr="00421225">
        <w:rPr>
          <w:lang w:val="fr-FR"/>
        </w:rPr>
        <w:t xml:space="preserve">. </w:t>
      </w:r>
      <w:r w:rsidR="00E77CB3" w:rsidRPr="00421225">
        <w:rPr>
          <w:lang w:val="fr-FR"/>
        </w:rPr>
        <w:t xml:space="preserve">Le gouvernement </w:t>
      </w:r>
      <w:r w:rsidRPr="00421225">
        <w:rPr>
          <w:lang w:val="fr-FR"/>
        </w:rPr>
        <w:t>italien</w:t>
      </w:r>
      <w:r w:rsidR="00E77CB3" w:rsidRPr="00421225">
        <w:rPr>
          <w:lang w:val="fr-FR"/>
        </w:rPr>
        <w:t xml:space="preserve"> (« le Gouvernement ») a été représenté </w:t>
      </w:r>
      <w:r w:rsidR="002D68D3" w:rsidRPr="00421225">
        <w:rPr>
          <w:lang w:val="fr-FR"/>
        </w:rPr>
        <w:t>par son agent, M</w:t>
      </w:r>
      <w:r w:rsidR="002D68D3" w:rsidRPr="00421225">
        <w:rPr>
          <w:vertAlign w:val="superscript"/>
          <w:lang w:val="fr-FR"/>
        </w:rPr>
        <w:t>me</w:t>
      </w:r>
      <w:r w:rsidR="002D68D3" w:rsidRPr="00421225">
        <w:rPr>
          <w:lang w:val="fr-FR"/>
        </w:rPr>
        <w:t xml:space="preserve"> E. Spatafora, et par son co-agent, M</w:t>
      </w:r>
      <w:r w:rsidR="002D68D3" w:rsidRPr="00421225">
        <w:rPr>
          <w:vertAlign w:val="superscript"/>
          <w:lang w:val="fr-FR"/>
        </w:rPr>
        <w:t>me</w:t>
      </w:r>
      <w:r w:rsidR="002D68D3" w:rsidRPr="00421225">
        <w:rPr>
          <w:lang w:val="fr-FR"/>
        </w:rPr>
        <w:t xml:space="preserve"> P. Accardo</w:t>
      </w:r>
      <w:r w:rsidR="00E77CB3" w:rsidRPr="00421225">
        <w:rPr>
          <w:lang w:val="fr-FR"/>
        </w:rPr>
        <w:t>.</w:t>
      </w:r>
    </w:p>
    <w:p w:rsidR="00E77CB3"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w:t>
      </w:r>
      <w:r w:rsidRPr="00421225">
        <w:rPr>
          <w:lang w:val="fr-FR"/>
        </w:rPr>
        <w:fldChar w:fldCharType="end"/>
      </w:r>
      <w:r w:rsidRPr="00421225">
        <w:rPr>
          <w:lang w:val="fr-FR"/>
        </w:rPr>
        <w:t xml:space="preserve">.  Le requérant allègue en particulier </w:t>
      </w:r>
      <w:r w:rsidR="002D68D3" w:rsidRPr="00421225">
        <w:rPr>
          <w:lang w:val="fr-FR"/>
        </w:rPr>
        <w:t>qu</w:t>
      </w:r>
      <w:r w:rsidR="00421225" w:rsidRPr="00421225">
        <w:rPr>
          <w:lang w:val="fr-FR"/>
        </w:rPr>
        <w:t>’</w:t>
      </w:r>
      <w:r w:rsidR="002D68D3" w:rsidRPr="00421225">
        <w:rPr>
          <w:lang w:val="fr-FR"/>
        </w:rPr>
        <w:t>une procédure pénale dirigée à son encontre n</w:t>
      </w:r>
      <w:r w:rsidR="00421225" w:rsidRPr="00421225">
        <w:rPr>
          <w:lang w:val="fr-FR"/>
        </w:rPr>
        <w:t>’</w:t>
      </w:r>
      <w:r w:rsidR="002D68D3" w:rsidRPr="00421225">
        <w:rPr>
          <w:lang w:val="fr-FR"/>
        </w:rPr>
        <w:t>a pas été équitable au motif qu</w:t>
      </w:r>
      <w:r w:rsidR="00421225" w:rsidRPr="00421225">
        <w:rPr>
          <w:lang w:val="fr-FR"/>
        </w:rPr>
        <w:t>’</w:t>
      </w:r>
      <w:r w:rsidR="002D68D3" w:rsidRPr="00421225">
        <w:rPr>
          <w:lang w:val="fr-FR"/>
        </w:rPr>
        <w:t>il n</w:t>
      </w:r>
      <w:r w:rsidR="00421225" w:rsidRPr="00421225">
        <w:rPr>
          <w:lang w:val="fr-FR"/>
        </w:rPr>
        <w:t>’</w:t>
      </w:r>
      <w:r w:rsidR="002D68D3" w:rsidRPr="00421225">
        <w:rPr>
          <w:lang w:val="fr-FR"/>
        </w:rPr>
        <w:t>a pas pu interroger ou faire interroger un témoin à charge</w:t>
      </w:r>
      <w:r w:rsidRPr="00421225">
        <w:rPr>
          <w:lang w:val="fr-FR"/>
        </w:rPr>
        <w:t>.</w:t>
      </w:r>
    </w:p>
    <w:p w:rsidR="00E77CB3" w:rsidRPr="00421225" w:rsidRDefault="006B4C8A" w:rsidP="00421225">
      <w:pPr>
        <w:pStyle w:val="ECHRPara"/>
        <w:rPr>
          <w:szCs w:val="24"/>
          <w:lang w:val="fr-FR" w:eastAsia="en-GB"/>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w:t>
      </w:r>
      <w:r w:rsidRPr="00421225">
        <w:rPr>
          <w:lang w:val="fr-FR"/>
        </w:rPr>
        <w:fldChar w:fldCharType="end"/>
      </w:r>
      <w:r w:rsidR="00E77CB3" w:rsidRPr="00421225">
        <w:rPr>
          <w:lang w:val="fr-FR"/>
        </w:rPr>
        <w:t>.  </w:t>
      </w:r>
      <w:r w:rsidRPr="00421225">
        <w:rPr>
          <w:lang w:val="fr-FR"/>
        </w:rPr>
        <w:t xml:space="preserve">Le </w:t>
      </w:r>
      <w:r w:rsidRPr="00421225">
        <w:rPr>
          <w:szCs w:val="24"/>
          <w:lang w:val="fr-FR"/>
        </w:rPr>
        <w:t>29 juin 2015</w:t>
      </w:r>
      <w:r w:rsidR="00E77CB3" w:rsidRPr="00421225">
        <w:rPr>
          <w:lang w:val="fr-FR"/>
        </w:rPr>
        <w:t xml:space="preserve">, </w:t>
      </w:r>
      <w:r w:rsidRPr="00421225">
        <w:rPr>
          <w:lang w:val="fr-FR"/>
        </w:rPr>
        <w:t xml:space="preserve">le grief concernant </w:t>
      </w:r>
      <w:r w:rsidR="00CD79DD" w:rsidRPr="00421225">
        <w:rPr>
          <w:lang w:val="fr-FR"/>
        </w:rPr>
        <w:t>l</w:t>
      </w:r>
      <w:r w:rsidR="00421225" w:rsidRPr="00421225">
        <w:rPr>
          <w:lang w:val="fr-FR"/>
        </w:rPr>
        <w:t>’</w:t>
      </w:r>
      <w:r w:rsidR="00CD79DD" w:rsidRPr="00421225">
        <w:rPr>
          <w:lang w:val="fr-FR"/>
        </w:rPr>
        <w:t>impossibilité d</w:t>
      </w:r>
      <w:r w:rsidR="00421225" w:rsidRPr="00421225">
        <w:rPr>
          <w:lang w:val="fr-FR"/>
        </w:rPr>
        <w:t>’</w:t>
      </w:r>
      <w:r w:rsidR="00CD79DD" w:rsidRPr="00421225">
        <w:rPr>
          <w:lang w:val="fr-FR"/>
        </w:rPr>
        <w:t>interroger le témoin en question</w:t>
      </w:r>
      <w:r w:rsidRPr="00421225">
        <w:rPr>
          <w:lang w:val="fr-FR"/>
        </w:rPr>
        <w:t xml:space="preserve"> a été communiqué au Gouvernement et la requête a été déclarée irrecevable</w:t>
      </w:r>
      <w:r w:rsidRPr="00421225">
        <w:rPr>
          <w:szCs w:val="24"/>
          <w:lang w:val="fr-FR"/>
        </w:rPr>
        <w:t xml:space="preserve"> pour le surplus </w:t>
      </w:r>
      <w:r w:rsidRPr="00421225">
        <w:rPr>
          <w:lang w:val="fr-FR"/>
        </w:rPr>
        <w:t>conformément à l</w:t>
      </w:r>
      <w:r w:rsidR="00421225" w:rsidRPr="00421225">
        <w:rPr>
          <w:lang w:val="fr-FR"/>
        </w:rPr>
        <w:t>’</w:t>
      </w:r>
      <w:r w:rsidRPr="00421225">
        <w:rPr>
          <w:lang w:val="fr-FR"/>
        </w:rPr>
        <w:t>article</w:t>
      </w:r>
      <w:r w:rsidR="00CD79DD" w:rsidRPr="00421225">
        <w:rPr>
          <w:lang w:val="fr-FR"/>
        </w:rPr>
        <w:t> </w:t>
      </w:r>
      <w:r w:rsidRPr="00421225">
        <w:rPr>
          <w:lang w:val="fr-FR"/>
        </w:rPr>
        <w:t>54 § 3 du Règlement de la Cour</w:t>
      </w:r>
      <w:r w:rsidR="00C1262B" w:rsidRPr="00421225">
        <w:rPr>
          <w:lang w:val="fr-FR"/>
        </w:rPr>
        <w:t>.</w:t>
      </w:r>
    </w:p>
    <w:p w:rsidR="00E77CB3" w:rsidRPr="00421225" w:rsidRDefault="00E77CB3" w:rsidP="00421225">
      <w:pPr>
        <w:pStyle w:val="ECHRTitle1"/>
        <w:tabs>
          <w:tab w:val="left" w:pos="5387"/>
        </w:tabs>
        <w:rPr>
          <w:lang w:val="fr-FR"/>
        </w:rPr>
      </w:pPr>
      <w:r w:rsidRPr="00421225">
        <w:rPr>
          <w:lang w:val="fr-FR"/>
        </w:rPr>
        <w:t>EN FAIT</w:t>
      </w:r>
    </w:p>
    <w:p w:rsidR="00E77CB3" w:rsidRPr="00421225" w:rsidRDefault="00E77CB3" w:rsidP="00421225">
      <w:pPr>
        <w:pStyle w:val="ECHRHeading1"/>
        <w:rPr>
          <w:lang w:val="fr-FR"/>
        </w:rPr>
      </w:pPr>
      <w:r w:rsidRPr="00421225">
        <w:rPr>
          <w:lang w:val="fr-FR"/>
        </w:rPr>
        <w:t>I.  LES CIRCONSTANCES DE L</w:t>
      </w:r>
      <w:r w:rsidR="00421225" w:rsidRPr="00421225">
        <w:rPr>
          <w:lang w:val="fr-FR"/>
        </w:rPr>
        <w:t>’</w:t>
      </w:r>
      <w:r w:rsidRPr="00421225">
        <w:rPr>
          <w:lang w:val="fr-FR"/>
        </w:rPr>
        <w:t>ESPÈCE</w:t>
      </w:r>
    </w:p>
    <w:p w:rsidR="00E77CB3"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w:t>
      </w:r>
      <w:r w:rsidRPr="00421225">
        <w:rPr>
          <w:lang w:val="fr-FR"/>
        </w:rPr>
        <w:fldChar w:fldCharType="end"/>
      </w:r>
      <w:r w:rsidR="00E77CB3" w:rsidRPr="00421225">
        <w:rPr>
          <w:lang w:val="fr-FR"/>
        </w:rPr>
        <w:t>.  </w:t>
      </w:r>
      <w:r w:rsidRPr="00421225">
        <w:rPr>
          <w:lang w:val="fr-FR"/>
        </w:rPr>
        <w:t xml:space="preserve">Le requérant est né en 1974 et </w:t>
      </w:r>
      <w:r w:rsidR="001F4044" w:rsidRPr="00421225">
        <w:rPr>
          <w:lang w:val="fr-FR"/>
        </w:rPr>
        <w:t xml:space="preserve">est actuellement </w:t>
      </w:r>
      <w:r w:rsidRPr="00421225">
        <w:rPr>
          <w:lang w:val="fr-FR"/>
        </w:rPr>
        <w:t xml:space="preserve">détenu </w:t>
      </w:r>
      <w:r w:rsidR="001F4044" w:rsidRPr="00421225">
        <w:rPr>
          <w:lang w:val="fr-FR"/>
        </w:rPr>
        <w:t>au pénitencier de</w:t>
      </w:r>
      <w:r w:rsidRPr="00421225">
        <w:rPr>
          <w:lang w:val="fr-FR"/>
        </w:rPr>
        <w:t xml:space="preserve"> Lecce</w:t>
      </w:r>
      <w:r w:rsidR="00E77CB3" w:rsidRPr="00421225">
        <w:rPr>
          <w:lang w:val="fr-FR"/>
        </w:rPr>
        <w:t>.</w:t>
      </w:r>
    </w:p>
    <w:p w:rsidR="001F4044" w:rsidRPr="00421225" w:rsidRDefault="001F4044" w:rsidP="00421225">
      <w:pPr>
        <w:pStyle w:val="ECHRHeading2"/>
        <w:rPr>
          <w:lang w:val="fr-FR"/>
        </w:rPr>
      </w:pPr>
      <w:r w:rsidRPr="00421225">
        <w:rPr>
          <w:lang w:val="fr-FR"/>
        </w:rPr>
        <w:lastRenderedPageBreak/>
        <w:t>A.  Les accusations contre le requérant et les investigations préliminaires</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w:t>
      </w:r>
      <w:r w:rsidRPr="00421225">
        <w:rPr>
          <w:lang w:val="fr-FR"/>
        </w:rPr>
        <w:fldChar w:fldCharType="end"/>
      </w:r>
      <w:r w:rsidRPr="00421225">
        <w:rPr>
          <w:lang w:val="fr-FR"/>
        </w:rPr>
        <w:t>.  Le 23 novembre 2008, A, une ressortissante roumaine, porta plainte contre le requérant. Elle affirma que ce dernier avait proposé de l</w:t>
      </w:r>
      <w:r w:rsidR="00421225" w:rsidRPr="00421225">
        <w:rPr>
          <w:lang w:val="fr-FR"/>
        </w:rPr>
        <w:t>’</w:t>
      </w:r>
      <w:r w:rsidRPr="00421225">
        <w:rPr>
          <w:lang w:val="fr-FR"/>
        </w:rPr>
        <w:t>accompagner chez elle à bord de sa voiture ; cependant, il l</w:t>
      </w:r>
      <w:r w:rsidR="00421225" w:rsidRPr="00421225">
        <w:rPr>
          <w:lang w:val="fr-FR"/>
        </w:rPr>
        <w:t>’</w:t>
      </w:r>
      <w:r w:rsidRPr="00421225">
        <w:rPr>
          <w:lang w:val="fr-FR"/>
        </w:rPr>
        <w:t>avait conduite à la campagne et l</w:t>
      </w:r>
      <w:r w:rsidR="00421225" w:rsidRPr="00421225">
        <w:rPr>
          <w:lang w:val="fr-FR"/>
        </w:rPr>
        <w:t>’</w:t>
      </w:r>
      <w:r w:rsidRPr="00421225">
        <w:rPr>
          <w:lang w:val="fr-FR"/>
        </w:rPr>
        <w:t>avait menacée, battue et violée. A ne s</w:t>
      </w:r>
      <w:r w:rsidR="00421225" w:rsidRPr="00421225">
        <w:rPr>
          <w:lang w:val="fr-FR"/>
        </w:rPr>
        <w:t>’</w:t>
      </w:r>
      <w:r w:rsidRPr="00421225">
        <w:rPr>
          <w:lang w:val="fr-FR"/>
        </w:rPr>
        <w:t xml:space="preserve">était pas physiquement opposée au viol par crainte de subir des violences ultérieures. </w:t>
      </w:r>
      <w:r w:rsidRPr="00421225">
        <w:rPr>
          <w:rFonts w:cstheme="minorHAnsi"/>
          <w:lang w:val="fr-FR"/>
        </w:rPr>
        <w:t xml:space="preserve">À </w:t>
      </w:r>
      <w:r w:rsidRPr="00421225">
        <w:rPr>
          <w:lang w:val="fr-FR"/>
        </w:rPr>
        <w:t>bord de la voiture se trouvait également un autre ressortissant marocain, B, qui s</w:t>
      </w:r>
      <w:r w:rsidR="00421225" w:rsidRPr="00421225">
        <w:rPr>
          <w:lang w:val="fr-FR"/>
        </w:rPr>
        <w:t>’</w:t>
      </w:r>
      <w:r w:rsidRPr="00421225">
        <w:rPr>
          <w:lang w:val="fr-FR"/>
        </w:rPr>
        <w:t>était toutefois éloigné au moment de la commission du viol.</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7</w:t>
      </w:r>
      <w:r w:rsidRPr="00421225">
        <w:rPr>
          <w:lang w:val="fr-FR"/>
        </w:rPr>
        <w:fldChar w:fldCharType="end"/>
      </w:r>
      <w:r w:rsidRPr="00421225">
        <w:rPr>
          <w:lang w:val="fr-FR"/>
        </w:rPr>
        <w:t>.  B fut interrogé par les carabiniers de Lesina (Foggia) le 23 novembre 2008. Il déclara que le requérant avait emprunté une route de campagne et avait fait des avances sexuelles explicites à A, qui les avait refusées et, avec un prétexte, s</w:t>
      </w:r>
      <w:r w:rsidR="00421225" w:rsidRPr="00421225">
        <w:rPr>
          <w:lang w:val="fr-FR"/>
        </w:rPr>
        <w:t>’</w:t>
      </w:r>
      <w:r w:rsidRPr="00421225">
        <w:rPr>
          <w:lang w:val="fr-FR"/>
        </w:rPr>
        <w:t>était éloignée de la voiture. B confirma que le requérant avait battu A, l</w:t>
      </w:r>
      <w:r w:rsidR="00421225" w:rsidRPr="00421225">
        <w:rPr>
          <w:lang w:val="fr-FR"/>
        </w:rPr>
        <w:t>’</w:t>
      </w:r>
      <w:r w:rsidRPr="00421225">
        <w:rPr>
          <w:lang w:val="fr-FR"/>
        </w:rPr>
        <w:t>obligeant à regagner l</w:t>
      </w:r>
      <w:r w:rsidR="00421225" w:rsidRPr="00421225">
        <w:rPr>
          <w:lang w:val="fr-FR"/>
        </w:rPr>
        <w:t>’</w:t>
      </w:r>
      <w:r w:rsidRPr="00421225">
        <w:rPr>
          <w:lang w:val="fr-FR"/>
        </w:rPr>
        <w:t>intérieur de la voiture. Connaissant le caractère violent du requérant, B était sorti du véhicule et n</w:t>
      </w:r>
      <w:r w:rsidR="00421225" w:rsidRPr="00421225">
        <w:rPr>
          <w:lang w:val="fr-FR"/>
        </w:rPr>
        <w:t>’</w:t>
      </w:r>
      <w:r w:rsidRPr="00421225">
        <w:rPr>
          <w:lang w:val="fr-FR"/>
        </w:rPr>
        <w:t>avait pas pu voir ce qui se passait à l</w:t>
      </w:r>
      <w:r w:rsidR="00421225" w:rsidRPr="00421225">
        <w:rPr>
          <w:lang w:val="fr-FR"/>
        </w:rPr>
        <w:t>’</w:t>
      </w:r>
      <w:r w:rsidRPr="00421225">
        <w:rPr>
          <w:lang w:val="fr-FR"/>
        </w:rPr>
        <w:t>intérieur. Cependant, il avait constaté que celui-ci « oscillait ». Lorsqu</w:t>
      </w:r>
      <w:r w:rsidR="00421225" w:rsidRPr="00421225">
        <w:rPr>
          <w:lang w:val="fr-FR"/>
        </w:rPr>
        <w:t>’</w:t>
      </w:r>
      <w:r w:rsidRPr="00421225">
        <w:rPr>
          <w:lang w:val="fr-FR"/>
        </w:rPr>
        <w:t>il était remonté en voiture, B avait vu que A pleurait.</w:t>
      </w:r>
    </w:p>
    <w:p w:rsidR="001F4044" w:rsidRPr="00421225" w:rsidRDefault="001F4044" w:rsidP="00421225">
      <w:pPr>
        <w:pStyle w:val="ECHRPara"/>
        <w:rPr>
          <w:lang w:val="fr-FR"/>
        </w:rPr>
      </w:pPr>
      <w:r w:rsidRPr="00421225">
        <w:rPr>
          <w:rFonts w:cstheme="minorHAnsi"/>
          <w:lang w:val="fr-FR"/>
        </w:rPr>
        <w:fldChar w:fldCharType="begin"/>
      </w:r>
      <w:r w:rsidRPr="00421225">
        <w:rPr>
          <w:rFonts w:cstheme="minorHAnsi"/>
          <w:lang w:val="fr-FR"/>
        </w:rPr>
        <w:instrText xml:space="preserve"> SEQ level0 \*arabic </w:instrText>
      </w:r>
      <w:r w:rsidRPr="00421225">
        <w:rPr>
          <w:rFonts w:cstheme="minorHAnsi"/>
          <w:lang w:val="fr-FR"/>
        </w:rPr>
        <w:fldChar w:fldCharType="separate"/>
      </w:r>
      <w:r w:rsidR="00421225" w:rsidRPr="00421225">
        <w:rPr>
          <w:rFonts w:cstheme="minorHAnsi"/>
          <w:noProof/>
          <w:lang w:val="fr-FR"/>
        </w:rPr>
        <w:t>8</w:t>
      </w:r>
      <w:r w:rsidRPr="00421225">
        <w:rPr>
          <w:rFonts w:cstheme="minorHAnsi"/>
          <w:lang w:val="fr-FR"/>
        </w:rPr>
        <w:fldChar w:fldCharType="end"/>
      </w:r>
      <w:r w:rsidRPr="00421225">
        <w:rPr>
          <w:rFonts w:cstheme="minorHAnsi"/>
          <w:lang w:val="fr-FR"/>
        </w:rPr>
        <w:t>.  À la</w:t>
      </w:r>
      <w:r w:rsidRPr="00421225">
        <w:rPr>
          <w:lang w:val="fr-FR"/>
        </w:rPr>
        <w:t xml:space="preserve"> lumière de ces dépositions, le requérant fut accusé de viol, coups et blessures et actes libidineux dans un lieu public.</w:t>
      </w:r>
    </w:p>
    <w:p w:rsidR="00421225"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9</w:t>
      </w:r>
      <w:r w:rsidRPr="00421225">
        <w:rPr>
          <w:lang w:val="fr-FR"/>
        </w:rPr>
        <w:fldChar w:fldCharType="end"/>
      </w:r>
      <w:r w:rsidRPr="00421225">
        <w:rPr>
          <w:lang w:val="fr-FR"/>
        </w:rPr>
        <w:t>.  Le 9 février 2009, A fut interrogée dans le cadre d</w:t>
      </w:r>
      <w:r w:rsidR="00421225" w:rsidRPr="00421225">
        <w:rPr>
          <w:lang w:val="fr-FR"/>
        </w:rPr>
        <w:t>’</w:t>
      </w:r>
      <w:r w:rsidRPr="00421225">
        <w:rPr>
          <w:lang w:val="fr-FR"/>
        </w:rPr>
        <w:t xml:space="preserve">une audience </w:t>
      </w:r>
      <w:r w:rsidRPr="00421225">
        <w:rPr>
          <w:i/>
          <w:lang w:val="fr-FR"/>
        </w:rPr>
        <w:t xml:space="preserve">ad hoc </w:t>
      </w:r>
      <w:r w:rsidRPr="00421225">
        <w:rPr>
          <w:lang w:val="fr-FR"/>
        </w:rPr>
        <w:t>(</w:t>
      </w:r>
      <w:r w:rsidRPr="00421225">
        <w:rPr>
          <w:i/>
          <w:lang w:val="fr-FR"/>
        </w:rPr>
        <w:t>incidente probatorio</w:t>
      </w:r>
      <w:r w:rsidRPr="00421225">
        <w:rPr>
          <w:lang w:val="fr-FR"/>
        </w:rPr>
        <w:t>) devant le juge des investigations préliminaires (ci-après le « GIP ») de Lucera (Foggia). Le défenseur du requérant était présent à cette audience et eut la faculté de poser des questions à A. Cette dernière confirma les accusations contre le requérant.</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10</w:t>
      </w:r>
      <w:r w:rsidRPr="00421225">
        <w:rPr>
          <w:lang w:val="fr-FR"/>
        </w:rPr>
        <w:fldChar w:fldCharType="end"/>
      </w:r>
      <w:r w:rsidRPr="00421225">
        <w:rPr>
          <w:lang w:val="fr-FR"/>
        </w:rPr>
        <w:t>.  Le 16 février 2009, le GIP de Lucera</w:t>
      </w:r>
      <w:r w:rsidR="00421225" w:rsidRPr="00421225">
        <w:rPr>
          <w:lang w:val="fr-FR"/>
        </w:rPr>
        <w:t xml:space="preserve"> </w:t>
      </w:r>
      <w:r w:rsidRPr="00421225">
        <w:rPr>
          <w:lang w:val="fr-FR"/>
        </w:rPr>
        <w:t>renvoya le requérant en jugement devant le tribunal de cette même ville.</w:t>
      </w:r>
    </w:p>
    <w:p w:rsidR="001F4044" w:rsidRPr="00421225" w:rsidRDefault="001F4044" w:rsidP="00421225">
      <w:pPr>
        <w:pStyle w:val="ECHRHeading2"/>
        <w:rPr>
          <w:lang w:val="fr-FR"/>
        </w:rPr>
      </w:pPr>
      <w:r w:rsidRPr="00421225">
        <w:rPr>
          <w:lang w:val="fr-FR"/>
        </w:rPr>
        <w:t>B.  Le procès de première instance</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11</w:t>
      </w:r>
      <w:r w:rsidRPr="00421225">
        <w:rPr>
          <w:lang w:val="fr-FR"/>
        </w:rPr>
        <w:fldChar w:fldCharType="end"/>
      </w:r>
      <w:r w:rsidRPr="00421225">
        <w:rPr>
          <w:lang w:val="fr-FR"/>
        </w:rPr>
        <w:t>.  Aux audiences des 9 juillet et 8 octobre 2009, un carabinier ayant recueilli la plainte de A et le fiancé de cette dernière furent entendus. Avec l</w:t>
      </w:r>
      <w:r w:rsidR="00421225" w:rsidRPr="00421225">
        <w:rPr>
          <w:lang w:val="fr-FR"/>
        </w:rPr>
        <w:t>’</w:t>
      </w:r>
      <w:r w:rsidRPr="00421225">
        <w:rPr>
          <w:lang w:val="fr-FR"/>
        </w:rPr>
        <w:t>accord du requérant, le parquet renonça à l</w:t>
      </w:r>
      <w:r w:rsidR="00421225" w:rsidRPr="00421225">
        <w:rPr>
          <w:lang w:val="fr-FR"/>
        </w:rPr>
        <w:t>’</w:t>
      </w:r>
      <w:r w:rsidRPr="00421225">
        <w:rPr>
          <w:lang w:val="fr-FR"/>
        </w:rPr>
        <w:t>audition de A.</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12</w:t>
      </w:r>
      <w:r w:rsidRPr="00421225">
        <w:rPr>
          <w:lang w:val="fr-FR"/>
        </w:rPr>
        <w:fldChar w:fldCharType="end"/>
      </w:r>
      <w:r w:rsidRPr="00421225">
        <w:rPr>
          <w:lang w:val="fr-FR"/>
        </w:rPr>
        <w:t>.  L</w:t>
      </w:r>
      <w:r w:rsidR="00421225" w:rsidRPr="00421225">
        <w:rPr>
          <w:lang w:val="fr-FR"/>
        </w:rPr>
        <w:t>’</w:t>
      </w:r>
      <w:r w:rsidRPr="00421225">
        <w:rPr>
          <w:lang w:val="fr-FR"/>
        </w:rPr>
        <w:t>audience du 14 janvier 2010 devait être consacrée, entre autres, à l</w:t>
      </w:r>
      <w:r w:rsidR="00421225" w:rsidRPr="00421225">
        <w:rPr>
          <w:lang w:val="fr-FR"/>
        </w:rPr>
        <w:t>’</w:t>
      </w:r>
      <w:r w:rsidRPr="00421225">
        <w:rPr>
          <w:lang w:val="fr-FR"/>
        </w:rPr>
        <w:t>audition de B. Cependant, ce témoin ne se présenta pas. Le tribunal, s</w:t>
      </w:r>
      <w:r w:rsidR="00421225" w:rsidRPr="00421225">
        <w:rPr>
          <w:lang w:val="fr-FR"/>
        </w:rPr>
        <w:t>’</w:t>
      </w:r>
      <w:r w:rsidRPr="00421225">
        <w:rPr>
          <w:lang w:val="fr-FR"/>
        </w:rPr>
        <w:t>appuyant sur l</w:t>
      </w:r>
      <w:r w:rsidR="00421225" w:rsidRPr="00421225">
        <w:rPr>
          <w:lang w:val="fr-FR"/>
        </w:rPr>
        <w:t>’</w:t>
      </w:r>
      <w:r w:rsidRPr="00421225">
        <w:rPr>
          <w:lang w:val="fr-FR"/>
        </w:rPr>
        <w:t xml:space="preserve">article 512 du code de procédure pénale (le « CPP » – </w:t>
      </w:r>
      <w:r w:rsidR="00705AC8" w:rsidRPr="00421225">
        <w:rPr>
          <w:lang w:val="fr-FR"/>
        </w:rPr>
        <w:t xml:space="preserve">paragraphe </w:t>
      </w:r>
      <w:r w:rsidR="00A30B59" w:rsidRPr="00421225">
        <w:rPr>
          <w:noProof/>
          <w:lang w:val="fr-FR"/>
        </w:rPr>
        <w:t>28</w:t>
      </w:r>
      <w:r w:rsidR="00705AC8" w:rsidRPr="00421225">
        <w:rPr>
          <w:lang w:val="fr-FR"/>
        </w:rPr>
        <w:t xml:space="preserve"> </w:t>
      </w:r>
      <w:r w:rsidRPr="00421225">
        <w:rPr>
          <w:lang w:val="fr-FR"/>
        </w:rPr>
        <w:t>ci-après) et en dépit de l</w:t>
      </w:r>
      <w:r w:rsidR="00421225" w:rsidRPr="00421225">
        <w:rPr>
          <w:lang w:val="fr-FR"/>
        </w:rPr>
        <w:t>’</w:t>
      </w:r>
      <w:r w:rsidRPr="00421225">
        <w:rPr>
          <w:lang w:val="fr-FR"/>
        </w:rPr>
        <w:t>opposition de la défense, ordonna la lecture de la déposition que B avait faite aux carabiniers de Lesina le 23</w:t>
      </w:r>
      <w:r w:rsidR="00705AC8" w:rsidRPr="00421225">
        <w:rPr>
          <w:lang w:val="fr-FR"/>
        </w:rPr>
        <w:t> </w:t>
      </w:r>
      <w:r w:rsidRPr="00421225">
        <w:rPr>
          <w:lang w:val="fr-FR"/>
        </w:rPr>
        <w:t>novembre 2008</w:t>
      </w:r>
      <w:r w:rsidR="00705AC8" w:rsidRPr="00421225">
        <w:rPr>
          <w:lang w:val="fr-FR"/>
        </w:rPr>
        <w:t xml:space="preserve"> (paragraphe </w:t>
      </w:r>
      <w:r w:rsidR="00A30B59" w:rsidRPr="00421225">
        <w:rPr>
          <w:noProof/>
          <w:lang w:val="fr-FR"/>
        </w:rPr>
        <w:t>7</w:t>
      </w:r>
      <w:r w:rsidR="00705AC8" w:rsidRPr="00421225">
        <w:rPr>
          <w:lang w:val="fr-FR"/>
        </w:rPr>
        <w:t xml:space="preserve"> ci-dessus)</w:t>
      </w:r>
      <w:r w:rsidRPr="00421225">
        <w:rPr>
          <w:lang w:val="fr-FR"/>
        </w:rPr>
        <w:t>. Suite à sa lecture, cette déposition fut acquise au dossier du juge (</w:t>
      </w:r>
      <w:r w:rsidRPr="00421225">
        <w:rPr>
          <w:i/>
          <w:lang w:val="fr-FR"/>
        </w:rPr>
        <w:t>fascicolo per il dibattimento</w:t>
      </w:r>
      <w:r w:rsidRPr="00421225">
        <w:rPr>
          <w:lang w:val="fr-FR"/>
        </w:rPr>
        <w:t>). Au cours de la même audience, le requérant et d</w:t>
      </w:r>
      <w:r w:rsidR="00421225" w:rsidRPr="00421225">
        <w:rPr>
          <w:lang w:val="fr-FR"/>
        </w:rPr>
        <w:t>’</w:t>
      </w:r>
      <w:r w:rsidRPr="00421225">
        <w:rPr>
          <w:lang w:val="fr-FR"/>
        </w:rPr>
        <w:t>autres témoins furent entendus.</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13</w:t>
      </w:r>
      <w:r w:rsidRPr="00421225">
        <w:rPr>
          <w:lang w:val="fr-FR"/>
        </w:rPr>
        <w:fldChar w:fldCharType="end"/>
      </w:r>
      <w:r w:rsidRPr="00421225">
        <w:rPr>
          <w:lang w:val="fr-FR"/>
        </w:rPr>
        <w:t>.  Le 6 mai 2010, un gynécologue ayant examiné A fut interrogé et le requérant fit des déclarations spontanées.</w:t>
      </w:r>
    </w:p>
    <w:p w:rsidR="001F4044" w:rsidRPr="00421225" w:rsidRDefault="001F4044" w:rsidP="00421225">
      <w:pPr>
        <w:pStyle w:val="ECHRPara"/>
        <w:rPr>
          <w:lang w:val="fr-FR"/>
        </w:rPr>
      </w:pPr>
      <w:r w:rsidRPr="00421225">
        <w:rPr>
          <w:lang w:val="fr-FR"/>
        </w:rPr>
        <w:lastRenderedPageBreak/>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14</w:t>
      </w:r>
      <w:r w:rsidRPr="00421225">
        <w:rPr>
          <w:lang w:val="fr-FR"/>
        </w:rPr>
        <w:fldChar w:fldCharType="end"/>
      </w:r>
      <w:r w:rsidRPr="00421225">
        <w:rPr>
          <w:lang w:val="fr-FR"/>
        </w:rPr>
        <w:t>.  Par un jugement du 23 septembre 2010, dont le texte fut déposé au greffe le 8 octobre 2010, le tribunal de Lucera condamna le requérant à une peine de sept ans d</w:t>
      </w:r>
      <w:r w:rsidR="00421225" w:rsidRPr="00421225">
        <w:rPr>
          <w:lang w:val="fr-FR"/>
        </w:rPr>
        <w:t>’</w:t>
      </w:r>
      <w:r w:rsidRPr="00421225">
        <w:rPr>
          <w:lang w:val="fr-FR"/>
        </w:rPr>
        <w:t>emprisonnement.</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15</w:t>
      </w:r>
      <w:r w:rsidRPr="00421225">
        <w:rPr>
          <w:lang w:val="fr-FR"/>
        </w:rPr>
        <w:fldChar w:fldCharType="end"/>
      </w:r>
      <w:r w:rsidRPr="00421225">
        <w:rPr>
          <w:lang w:val="fr-FR"/>
        </w:rPr>
        <w:t>.  Cette décision se fonda sur les déclarations faites par A au cours de l</w:t>
      </w:r>
      <w:r w:rsidR="00421225" w:rsidRPr="00421225">
        <w:rPr>
          <w:lang w:val="fr-FR"/>
        </w:rPr>
        <w:t>’</w:t>
      </w:r>
      <w:r w:rsidRPr="00421225">
        <w:rPr>
          <w:lang w:val="fr-FR"/>
        </w:rPr>
        <w:t xml:space="preserve">audience </w:t>
      </w:r>
      <w:r w:rsidRPr="00421225">
        <w:rPr>
          <w:i/>
          <w:lang w:val="fr-FR"/>
        </w:rPr>
        <w:t>ad hoc</w:t>
      </w:r>
      <w:r w:rsidRPr="00421225">
        <w:rPr>
          <w:lang w:val="fr-FR"/>
        </w:rPr>
        <w:t xml:space="preserve"> du 9 février 2009</w:t>
      </w:r>
      <w:r w:rsidR="00705AC8" w:rsidRPr="00421225">
        <w:rPr>
          <w:lang w:val="fr-FR"/>
        </w:rPr>
        <w:t xml:space="preserve"> (paragraphe </w:t>
      </w:r>
      <w:r w:rsidR="00A30B59" w:rsidRPr="00421225">
        <w:rPr>
          <w:noProof/>
          <w:lang w:val="fr-FR"/>
        </w:rPr>
        <w:t>9</w:t>
      </w:r>
      <w:r w:rsidR="00705AC8" w:rsidRPr="00421225">
        <w:rPr>
          <w:lang w:val="fr-FR"/>
        </w:rPr>
        <w:t xml:space="preserve"> ci-dessus)</w:t>
      </w:r>
      <w:r w:rsidRPr="00421225">
        <w:rPr>
          <w:lang w:val="fr-FR"/>
        </w:rPr>
        <w:t>, estimées précises, crédibles et corroborées par d</w:t>
      </w:r>
      <w:r w:rsidR="00421225" w:rsidRPr="00421225">
        <w:rPr>
          <w:lang w:val="fr-FR"/>
        </w:rPr>
        <w:t>’</w:t>
      </w:r>
      <w:r w:rsidRPr="00421225">
        <w:rPr>
          <w:lang w:val="fr-FR"/>
        </w:rPr>
        <w:t>autres éléments. Parmi ceux-ci figuraient les déclarations de B.</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16</w:t>
      </w:r>
      <w:r w:rsidRPr="00421225">
        <w:rPr>
          <w:lang w:val="fr-FR"/>
        </w:rPr>
        <w:fldChar w:fldCharType="end"/>
      </w:r>
      <w:r w:rsidRPr="00421225">
        <w:rPr>
          <w:lang w:val="fr-FR"/>
        </w:rPr>
        <w:t>.  Le tribunal précisa que la circonstance qu</w:t>
      </w:r>
      <w:r w:rsidR="00421225" w:rsidRPr="00421225">
        <w:rPr>
          <w:lang w:val="fr-FR"/>
        </w:rPr>
        <w:t>’</w:t>
      </w:r>
      <w:r w:rsidRPr="00421225">
        <w:rPr>
          <w:lang w:val="fr-FR"/>
        </w:rPr>
        <w:t>un témoin était devenu introuvable s</w:t>
      </w:r>
      <w:r w:rsidR="00421225" w:rsidRPr="00421225">
        <w:rPr>
          <w:lang w:val="fr-FR"/>
        </w:rPr>
        <w:t>’</w:t>
      </w:r>
      <w:r w:rsidRPr="00421225">
        <w:rPr>
          <w:lang w:val="fr-FR"/>
        </w:rPr>
        <w:t>analysait en une « impossibilité objective » de l</w:t>
      </w:r>
      <w:r w:rsidR="00421225" w:rsidRPr="00421225">
        <w:rPr>
          <w:lang w:val="fr-FR"/>
        </w:rPr>
        <w:t>’</w:t>
      </w:r>
      <w:r w:rsidRPr="00421225">
        <w:rPr>
          <w:lang w:val="fr-FR"/>
        </w:rPr>
        <w:t>interroger aux débats, ce qui, aux termes de l</w:t>
      </w:r>
      <w:r w:rsidR="00421225" w:rsidRPr="00421225">
        <w:rPr>
          <w:lang w:val="fr-FR"/>
        </w:rPr>
        <w:t>’</w:t>
      </w:r>
      <w:r w:rsidRPr="00421225">
        <w:rPr>
          <w:lang w:val="fr-FR"/>
        </w:rPr>
        <w:t>article 512 du CPP</w:t>
      </w:r>
      <w:r w:rsidR="00705AC8" w:rsidRPr="00421225">
        <w:rPr>
          <w:lang w:val="fr-FR"/>
        </w:rPr>
        <w:t xml:space="preserve"> (paragraphe </w:t>
      </w:r>
      <w:r w:rsidR="00A30B59" w:rsidRPr="00421225">
        <w:rPr>
          <w:noProof/>
          <w:lang w:val="fr-FR"/>
        </w:rPr>
        <w:t>28</w:t>
      </w:r>
      <w:r w:rsidR="00705AC8" w:rsidRPr="00421225">
        <w:rPr>
          <w:lang w:val="fr-FR"/>
        </w:rPr>
        <w:t xml:space="preserve"> ci-après)</w:t>
      </w:r>
      <w:r w:rsidRPr="00421225">
        <w:rPr>
          <w:lang w:val="fr-FR"/>
        </w:rPr>
        <w:t>, lu à la lumière de l</w:t>
      </w:r>
      <w:r w:rsidR="00421225" w:rsidRPr="00421225">
        <w:rPr>
          <w:lang w:val="fr-FR"/>
        </w:rPr>
        <w:t>’</w:t>
      </w:r>
      <w:r w:rsidRPr="00421225">
        <w:rPr>
          <w:lang w:val="fr-FR"/>
        </w:rPr>
        <w:t>article 111 de la Constitution</w:t>
      </w:r>
      <w:r w:rsidR="00705AC8" w:rsidRPr="00421225">
        <w:rPr>
          <w:lang w:val="fr-FR"/>
        </w:rPr>
        <w:t xml:space="preserve"> (paragraphe </w:t>
      </w:r>
      <w:r w:rsidR="00A30B59" w:rsidRPr="00421225">
        <w:rPr>
          <w:noProof/>
          <w:lang w:val="fr-FR"/>
        </w:rPr>
        <w:t>30</w:t>
      </w:r>
      <w:r w:rsidR="00705AC8" w:rsidRPr="00421225">
        <w:rPr>
          <w:lang w:val="fr-FR"/>
        </w:rPr>
        <w:t xml:space="preserve"> ci-après)</w:t>
      </w:r>
      <w:r w:rsidRPr="00421225">
        <w:rPr>
          <w:lang w:val="fr-FR"/>
        </w:rPr>
        <w:t>, permettait d</w:t>
      </w:r>
      <w:r w:rsidR="00421225" w:rsidRPr="00421225">
        <w:rPr>
          <w:lang w:val="fr-FR"/>
        </w:rPr>
        <w:t>’</w:t>
      </w:r>
      <w:r w:rsidRPr="00421225">
        <w:rPr>
          <w:lang w:val="fr-FR"/>
        </w:rPr>
        <w:t>utiliser pour décider sur le bien-fondé des accusations toute déposition faite avant le procès. Le tribunal estima que l</w:t>
      </w:r>
      <w:r w:rsidR="00421225" w:rsidRPr="00421225">
        <w:rPr>
          <w:lang w:val="fr-FR"/>
        </w:rPr>
        <w:t>’</w:t>
      </w:r>
      <w:r w:rsidRPr="00421225">
        <w:rPr>
          <w:lang w:val="fr-FR"/>
        </w:rPr>
        <w:t>absence de B n</w:t>
      </w:r>
      <w:r w:rsidR="00421225" w:rsidRPr="00421225">
        <w:rPr>
          <w:lang w:val="fr-FR"/>
        </w:rPr>
        <w:t>’</w:t>
      </w:r>
      <w:r w:rsidRPr="00421225">
        <w:rPr>
          <w:lang w:val="fr-FR"/>
        </w:rPr>
        <w:t>était pas prévisible, étant donné qu</w:t>
      </w:r>
      <w:r w:rsidR="00421225" w:rsidRPr="00421225">
        <w:rPr>
          <w:lang w:val="fr-FR"/>
        </w:rPr>
        <w:t>’</w:t>
      </w:r>
      <w:r w:rsidRPr="00421225">
        <w:rPr>
          <w:lang w:val="fr-FR"/>
        </w:rPr>
        <w:t>il avait élu un domicile et travaillait en Italie. La circonstance qu</w:t>
      </w:r>
      <w:r w:rsidR="00421225" w:rsidRPr="00421225">
        <w:rPr>
          <w:lang w:val="fr-FR"/>
        </w:rPr>
        <w:t>’</w:t>
      </w:r>
      <w:r w:rsidRPr="00421225">
        <w:rPr>
          <w:lang w:val="fr-FR"/>
        </w:rPr>
        <w:t>il n</w:t>
      </w:r>
      <w:r w:rsidR="00421225" w:rsidRPr="00421225">
        <w:rPr>
          <w:lang w:val="fr-FR"/>
        </w:rPr>
        <w:t>’</w:t>
      </w:r>
      <w:r w:rsidRPr="00421225">
        <w:rPr>
          <w:lang w:val="fr-FR"/>
        </w:rPr>
        <w:t>était pas un ressortissant de l</w:t>
      </w:r>
      <w:r w:rsidR="00421225" w:rsidRPr="00421225">
        <w:rPr>
          <w:lang w:val="fr-FR"/>
        </w:rPr>
        <w:t>’</w:t>
      </w:r>
      <w:r w:rsidRPr="00421225">
        <w:rPr>
          <w:lang w:val="fr-FR"/>
        </w:rPr>
        <w:t>Union européenne ne changeait rien à cette conclusion.</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17</w:t>
      </w:r>
      <w:r w:rsidRPr="00421225">
        <w:rPr>
          <w:lang w:val="fr-FR"/>
        </w:rPr>
        <w:fldChar w:fldCharType="end"/>
      </w:r>
      <w:r w:rsidRPr="00421225">
        <w:rPr>
          <w:lang w:val="fr-FR"/>
        </w:rPr>
        <w:t>.  Le tribunal estima également que les examens gynécologiques effectués sur A n</w:t>
      </w:r>
      <w:r w:rsidR="00421225" w:rsidRPr="00421225">
        <w:rPr>
          <w:lang w:val="fr-FR"/>
        </w:rPr>
        <w:t>’</w:t>
      </w:r>
      <w:r w:rsidRPr="00421225">
        <w:rPr>
          <w:lang w:val="fr-FR"/>
        </w:rPr>
        <w:t>étaient pas de nature à démentir la version des faits de la victime. En effet, l</w:t>
      </w:r>
      <w:r w:rsidR="00421225" w:rsidRPr="00421225">
        <w:rPr>
          <w:lang w:val="fr-FR"/>
        </w:rPr>
        <w:t>’</w:t>
      </w:r>
      <w:r w:rsidRPr="00421225">
        <w:rPr>
          <w:lang w:val="fr-FR"/>
        </w:rPr>
        <w:t>absence de lésions significatives était compatible avec un viol perpétré avec menace et A n</w:t>
      </w:r>
      <w:r w:rsidR="00421225" w:rsidRPr="00421225">
        <w:rPr>
          <w:lang w:val="fr-FR"/>
        </w:rPr>
        <w:t>’</w:t>
      </w:r>
      <w:r w:rsidRPr="00421225">
        <w:rPr>
          <w:lang w:val="fr-FR"/>
        </w:rPr>
        <w:t>avait pas indiqué les modalités de l</w:t>
      </w:r>
      <w:r w:rsidR="00421225" w:rsidRPr="00421225">
        <w:rPr>
          <w:lang w:val="fr-FR"/>
        </w:rPr>
        <w:t>’</w:t>
      </w:r>
      <w:r w:rsidRPr="00421225">
        <w:rPr>
          <w:lang w:val="fr-FR"/>
        </w:rPr>
        <w:t>éjaculation. Par ailleurs, le gynécologue n</w:t>
      </w:r>
      <w:r w:rsidR="00421225" w:rsidRPr="00421225">
        <w:rPr>
          <w:lang w:val="fr-FR"/>
        </w:rPr>
        <w:t>’</w:t>
      </w:r>
      <w:r w:rsidRPr="00421225">
        <w:rPr>
          <w:lang w:val="fr-FR"/>
        </w:rPr>
        <w:t>avait pas vérifié la présence de liquide séminal. Enfin, le carabinier ayant recueilli la plainte de A avait pu constater que cette dernière était un état de choc et se plaignait de douleurs abdominales.</w:t>
      </w:r>
    </w:p>
    <w:p w:rsidR="001F4044" w:rsidRPr="00421225" w:rsidRDefault="001F4044" w:rsidP="00421225">
      <w:pPr>
        <w:pStyle w:val="ECHRHeading2"/>
        <w:rPr>
          <w:lang w:val="fr-FR"/>
        </w:rPr>
      </w:pPr>
      <w:r w:rsidRPr="00421225">
        <w:rPr>
          <w:lang w:val="fr-FR"/>
        </w:rPr>
        <w:t>C.  L</w:t>
      </w:r>
      <w:r w:rsidR="00421225" w:rsidRPr="00421225">
        <w:rPr>
          <w:lang w:val="fr-FR"/>
        </w:rPr>
        <w:t>’</w:t>
      </w:r>
      <w:r w:rsidRPr="00421225">
        <w:rPr>
          <w:lang w:val="fr-FR"/>
        </w:rPr>
        <w:t>appel</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18</w:t>
      </w:r>
      <w:r w:rsidRPr="00421225">
        <w:rPr>
          <w:lang w:val="fr-FR"/>
        </w:rPr>
        <w:fldChar w:fldCharType="end"/>
      </w:r>
      <w:r w:rsidRPr="00421225">
        <w:rPr>
          <w:lang w:val="fr-FR"/>
        </w:rPr>
        <w:t>.  Le requérant interjeta appel. Il contesta l</w:t>
      </w:r>
      <w:r w:rsidR="00421225" w:rsidRPr="00421225">
        <w:rPr>
          <w:lang w:val="fr-FR"/>
        </w:rPr>
        <w:t>’</w:t>
      </w:r>
      <w:r w:rsidRPr="00421225">
        <w:rPr>
          <w:lang w:val="fr-FR"/>
        </w:rPr>
        <w:t>évaluation des preuves à sa charge et s</w:t>
      </w:r>
      <w:r w:rsidR="00421225" w:rsidRPr="00421225">
        <w:rPr>
          <w:lang w:val="fr-FR"/>
        </w:rPr>
        <w:t>’</w:t>
      </w:r>
      <w:r w:rsidRPr="00421225">
        <w:rPr>
          <w:lang w:val="fr-FR"/>
        </w:rPr>
        <w:t>opposa à l</w:t>
      </w:r>
      <w:r w:rsidR="00421225" w:rsidRPr="00421225">
        <w:rPr>
          <w:lang w:val="fr-FR"/>
        </w:rPr>
        <w:t>’</w:t>
      </w:r>
      <w:r w:rsidRPr="00421225">
        <w:rPr>
          <w:lang w:val="fr-FR"/>
        </w:rPr>
        <w:t>utilisation de la déposition de B. Il observa que ce dernier était un ressortissant non-communautaire sans permis de séjour, qui n</w:t>
      </w:r>
      <w:r w:rsidR="00421225" w:rsidRPr="00421225">
        <w:rPr>
          <w:lang w:val="fr-FR"/>
        </w:rPr>
        <w:t>’</w:t>
      </w:r>
      <w:r w:rsidRPr="00421225">
        <w:rPr>
          <w:lang w:val="fr-FR"/>
        </w:rPr>
        <w:t>avait fourni ni d</w:t>
      </w:r>
      <w:r w:rsidR="00421225" w:rsidRPr="00421225">
        <w:rPr>
          <w:lang w:val="fr-FR"/>
        </w:rPr>
        <w:t>’</w:t>
      </w:r>
      <w:r w:rsidRPr="00421225">
        <w:rPr>
          <w:lang w:val="fr-FR"/>
        </w:rPr>
        <w:t>adresse fixe ni de numéro de téléphone. Dès lors, son absence aux débats était non seulement prévisible, mais très probable. Il aurait donc dû être entendu dans le cadre d</w:t>
      </w:r>
      <w:r w:rsidR="00421225" w:rsidRPr="00421225">
        <w:rPr>
          <w:lang w:val="fr-FR"/>
        </w:rPr>
        <w:t>’</w:t>
      </w:r>
      <w:r w:rsidRPr="00421225">
        <w:rPr>
          <w:lang w:val="fr-FR"/>
        </w:rPr>
        <w:t xml:space="preserve">une audience </w:t>
      </w:r>
      <w:r w:rsidRPr="00421225">
        <w:rPr>
          <w:i/>
          <w:lang w:val="fr-FR"/>
        </w:rPr>
        <w:t>ad hoc</w:t>
      </w:r>
      <w:r w:rsidRPr="00421225">
        <w:rPr>
          <w:lang w:val="fr-FR"/>
        </w:rPr>
        <w:t>. Par ailleurs, B était apparemment retourné au Maroc, ce qui amenait à penser qu</w:t>
      </w:r>
      <w:r w:rsidR="00421225" w:rsidRPr="00421225">
        <w:rPr>
          <w:lang w:val="fr-FR"/>
        </w:rPr>
        <w:t>’</w:t>
      </w:r>
      <w:r w:rsidRPr="00421225">
        <w:rPr>
          <w:lang w:val="fr-FR"/>
        </w:rPr>
        <w:t>il s</w:t>
      </w:r>
      <w:r w:rsidR="00421225" w:rsidRPr="00421225">
        <w:rPr>
          <w:lang w:val="fr-FR"/>
        </w:rPr>
        <w:t>’</w:t>
      </w:r>
      <w:r w:rsidRPr="00421225">
        <w:rPr>
          <w:lang w:val="fr-FR"/>
        </w:rPr>
        <w:t>était volontairement soustrait à l</w:t>
      </w:r>
      <w:r w:rsidR="00421225" w:rsidRPr="00421225">
        <w:rPr>
          <w:lang w:val="fr-FR"/>
        </w:rPr>
        <w:t>’</w:t>
      </w:r>
      <w:r w:rsidRPr="00421225">
        <w:rPr>
          <w:lang w:val="fr-FR"/>
        </w:rPr>
        <w:t>interrogatoire. Or, aux termes de l</w:t>
      </w:r>
      <w:r w:rsidR="00421225" w:rsidRPr="00421225">
        <w:rPr>
          <w:lang w:val="fr-FR"/>
        </w:rPr>
        <w:t>’</w:t>
      </w:r>
      <w:r w:rsidRPr="00421225">
        <w:rPr>
          <w:lang w:val="fr-FR"/>
        </w:rPr>
        <w:t>article 526 § 1</w:t>
      </w:r>
      <w:r w:rsidRPr="00421225">
        <w:rPr>
          <w:i/>
          <w:lang w:val="fr-FR"/>
        </w:rPr>
        <w:t xml:space="preserve">bis </w:t>
      </w:r>
      <w:r w:rsidRPr="00421225">
        <w:rPr>
          <w:lang w:val="fr-FR"/>
        </w:rPr>
        <w:t>du CPP</w:t>
      </w:r>
      <w:r w:rsidR="00BA2760" w:rsidRPr="00421225">
        <w:rPr>
          <w:lang w:val="fr-FR"/>
        </w:rPr>
        <w:t xml:space="preserve"> (paragraphe </w:t>
      </w:r>
      <w:r w:rsidR="00A30B59" w:rsidRPr="00421225">
        <w:rPr>
          <w:noProof/>
          <w:lang w:val="fr-FR"/>
        </w:rPr>
        <w:t>29</w:t>
      </w:r>
      <w:r w:rsidR="00BA2760" w:rsidRPr="00421225">
        <w:rPr>
          <w:lang w:val="fr-FR"/>
        </w:rPr>
        <w:t xml:space="preserve"> ci-après)</w:t>
      </w:r>
      <w:r w:rsidRPr="00421225">
        <w:rPr>
          <w:lang w:val="fr-FR"/>
        </w:rPr>
        <w:t>, la culpabilité de l</w:t>
      </w:r>
      <w:r w:rsidR="00421225" w:rsidRPr="00421225">
        <w:rPr>
          <w:lang w:val="fr-FR"/>
        </w:rPr>
        <w:t>’</w:t>
      </w:r>
      <w:r w:rsidRPr="00421225">
        <w:rPr>
          <w:lang w:val="fr-FR"/>
        </w:rPr>
        <w:t>accusé ne pouvait pas être prouvée sur la base des déclarations faites par ceux qui, de leur plein gré, s</w:t>
      </w:r>
      <w:r w:rsidR="00421225" w:rsidRPr="00421225">
        <w:rPr>
          <w:lang w:val="fr-FR"/>
        </w:rPr>
        <w:t>’</w:t>
      </w:r>
      <w:r w:rsidRPr="00421225">
        <w:rPr>
          <w:lang w:val="fr-FR"/>
        </w:rPr>
        <w:t>étaient toujours soustraits à l</w:t>
      </w:r>
      <w:r w:rsidR="00421225" w:rsidRPr="00421225">
        <w:rPr>
          <w:lang w:val="fr-FR"/>
        </w:rPr>
        <w:t>’</w:t>
      </w:r>
      <w:r w:rsidRPr="00421225">
        <w:rPr>
          <w:lang w:val="fr-FR"/>
        </w:rPr>
        <w:t>examen par le prévenu ou son défenseur.</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19</w:t>
      </w:r>
      <w:r w:rsidRPr="00421225">
        <w:rPr>
          <w:lang w:val="fr-FR"/>
        </w:rPr>
        <w:fldChar w:fldCharType="end"/>
      </w:r>
      <w:r w:rsidRPr="00421225">
        <w:rPr>
          <w:lang w:val="fr-FR"/>
        </w:rPr>
        <w:t>.  Par un arrêt du 14 juin 2011, dont le texte fut déposé au greffe le 12 septembre 2011, la cour d</w:t>
      </w:r>
      <w:r w:rsidR="00421225" w:rsidRPr="00421225">
        <w:rPr>
          <w:lang w:val="fr-FR"/>
        </w:rPr>
        <w:t>’</w:t>
      </w:r>
      <w:r w:rsidRPr="00421225">
        <w:rPr>
          <w:lang w:val="fr-FR"/>
        </w:rPr>
        <w:t>appel de Bari réduisit la peine infligée au requérant à six ans d</w:t>
      </w:r>
      <w:r w:rsidR="00421225" w:rsidRPr="00421225">
        <w:rPr>
          <w:lang w:val="fr-FR"/>
        </w:rPr>
        <w:t>’</w:t>
      </w:r>
      <w:r w:rsidRPr="00421225">
        <w:rPr>
          <w:lang w:val="fr-FR"/>
        </w:rPr>
        <w:t>emprisonnement.</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20</w:t>
      </w:r>
      <w:r w:rsidRPr="00421225">
        <w:rPr>
          <w:lang w:val="fr-FR"/>
        </w:rPr>
        <w:fldChar w:fldCharType="end"/>
      </w:r>
      <w:r w:rsidRPr="00421225">
        <w:rPr>
          <w:lang w:val="fr-FR"/>
        </w:rPr>
        <w:t>.  La cour d</w:t>
      </w:r>
      <w:r w:rsidR="00421225" w:rsidRPr="00421225">
        <w:rPr>
          <w:lang w:val="fr-FR"/>
        </w:rPr>
        <w:t>’</w:t>
      </w:r>
      <w:r w:rsidRPr="00421225">
        <w:rPr>
          <w:lang w:val="fr-FR"/>
        </w:rPr>
        <w:t>appel releva que lorsque, le 23 novembre 2008, il avait été interrogé par les carabiniers de Lesina</w:t>
      </w:r>
      <w:r w:rsidR="00BA2760" w:rsidRPr="00421225">
        <w:rPr>
          <w:lang w:val="fr-FR"/>
        </w:rPr>
        <w:t xml:space="preserve"> (paragraphe </w:t>
      </w:r>
      <w:r w:rsidR="00A30B59" w:rsidRPr="00421225">
        <w:rPr>
          <w:noProof/>
          <w:lang w:val="fr-FR"/>
        </w:rPr>
        <w:t>7</w:t>
      </w:r>
      <w:r w:rsidR="00BA2760" w:rsidRPr="00421225">
        <w:rPr>
          <w:lang w:val="fr-FR"/>
        </w:rPr>
        <w:t xml:space="preserve"> ci-dessus)</w:t>
      </w:r>
      <w:r w:rsidRPr="00421225">
        <w:rPr>
          <w:lang w:val="fr-FR"/>
        </w:rPr>
        <w:t xml:space="preserve">, B avait élu </w:t>
      </w:r>
      <w:r w:rsidRPr="00421225">
        <w:rPr>
          <w:lang w:val="fr-FR"/>
        </w:rPr>
        <w:lastRenderedPageBreak/>
        <w:t>domicile auprès du siège de la société de transports pour laquelle il travaillait. Les autorités avaient ensuite à plusieurs reprises et en vain essayé de lui signifier la citation à comparaître auprès de ce domicile. Le 17 décembre 2009, les carabiniers avaient rédigé un procès-verbal de recherches vaines (</w:t>
      </w:r>
      <w:r w:rsidRPr="00421225">
        <w:rPr>
          <w:i/>
          <w:lang w:val="fr-FR"/>
        </w:rPr>
        <w:t>verbale di vane ricerche</w:t>
      </w:r>
      <w:r w:rsidRPr="00421225">
        <w:rPr>
          <w:lang w:val="fr-FR"/>
        </w:rPr>
        <w:t xml:space="preserve">). </w:t>
      </w:r>
      <w:r w:rsidRPr="00421225">
        <w:rPr>
          <w:rFonts w:cstheme="minorHAnsi"/>
          <w:lang w:val="fr-FR"/>
        </w:rPr>
        <w:t>A</w:t>
      </w:r>
      <w:r w:rsidRPr="00421225">
        <w:rPr>
          <w:lang w:val="fr-FR"/>
        </w:rPr>
        <w:t>u moment de son interrogatoire par les carabiniers, B avait un travail stable et régulier en Italie, et rien ne permettait de penser qu</w:t>
      </w:r>
      <w:r w:rsidR="00421225" w:rsidRPr="00421225">
        <w:rPr>
          <w:lang w:val="fr-FR"/>
        </w:rPr>
        <w:t>’</w:t>
      </w:r>
      <w:r w:rsidRPr="00421225">
        <w:rPr>
          <w:lang w:val="fr-FR"/>
        </w:rPr>
        <w:t>il y aurait renoncé quelques mois plus tard, retournant au Maroc sans laisser d</w:t>
      </w:r>
      <w:r w:rsidR="00421225" w:rsidRPr="00421225">
        <w:rPr>
          <w:lang w:val="fr-FR"/>
        </w:rPr>
        <w:t>’</w:t>
      </w:r>
      <w:r w:rsidRPr="00421225">
        <w:rPr>
          <w:lang w:val="fr-FR"/>
        </w:rPr>
        <w:t>adresse et se rendant ainsi introuvable. Ceci était d</w:t>
      </w:r>
      <w:r w:rsidR="00421225" w:rsidRPr="00421225">
        <w:rPr>
          <w:lang w:val="fr-FR"/>
        </w:rPr>
        <w:t>’</w:t>
      </w:r>
      <w:r w:rsidRPr="00421225">
        <w:rPr>
          <w:lang w:val="fr-FR"/>
        </w:rPr>
        <w:t>autant plus vrai si l</w:t>
      </w:r>
      <w:r w:rsidR="00421225" w:rsidRPr="00421225">
        <w:rPr>
          <w:lang w:val="fr-FR"/>
        </w:rPr>
        <w:t>’</w:t>
      </w:r>
      <w:r w:rsidRPr="00421225">
        <w:rPr>
          <w:lang w:val="fr-FR"/>
        </w:rPr>
        <w:t>on songeait aux faits que B s</w:t>
      </w:r>
      <w:r w:rsidR="00421225" w:rsidRPr="00421225">
        <w:rPr>
          <w:lang w:val="fr-FR"/>
        </w:rPr>
        <w:t>’</w:t>
      </w:r>
      <w:r w:rsidRPr="00421225">
        <w:rPr>
          <w:lang w:val="fr-FR"/>
        </w:rPr>
        <w:t>était montré disposé à collaborer avec les autorités et qu</w:t>
      </w:r>
      <w:r w:rsidR="00421225" w:rsidRPr="00421225">
        <w:rPr>
          <w:lang w:val="fr-FR"/>
        </w:rPr>
        <w:t>’</w:t>
      </w:r>
      <w:r w:rsidRPr="00421225">
        <w:rPr>
          <w:lang w:val="fr-FR"/>
        </w:rPr>
        <w:t>il avait un intérêt concret à garder sa source de revenus. Il s</w:t>
      </w:r>
      <w:r w:rsidR="00421225" w:rsidRPr="00421225">
        <w:rPr>
          <w:lang w:val="fr-FR"/>
        </w:rPr>
        <w:t>’</w:t>
      </w:r>
      <w:r w:rsidRPr="00421225">
        <w:rPr>
          <w:lang w:val="fr-FR"/>
        </w:rPr>
        <w:t>ensuivait que son absence aux débats n</w:t>
      </w:r>
      <w:r w:rsidR="00421225" w:rsidRPr="00421225">
        <w:rPr>
          <w:lang w:val="fr-FR"/>
        </w:rPr>
        <w:t>’</w:t>
      </w:r>
      <w:r w:rsidRPr="00421225">
        <w:rPr>
          <w:lang w:val="fr-FR"/>
        </w:rPr>
        <w:t>était pas prévisible. La lecture et l</w:t>
      </w:r>
      <w:r w:rsidR="00421225" w:rsidRPr="00421225">
        <w:rPr>
          <w:lang w:val="fr-FR"/>
        </w:rPr>
        <w:t>’</w:t>
      </w:r>
      <w:r w:rsidRPr="00421225">
        <w:rPr>
          <w:lang w:val="fr-FR"/>
        </w:rPr>
        <w:t>utilisation de la déposition faite aux carabiniers étaient donc légitimes.</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21</w:t>
      </w:r>
      <w:r w:rsidRPr="00421225">
        <w:rPr>
          <w:lang w:val="fr-FR"/>
        </w:rPr>
        <w:fldChar w:fldCharType="end"/>
      </w:r>
      <w:r w:rsidRPr="00421225">
        <w:rPr>
          <w:lang w:val="fr-FR"/>
        </w:rPr>
        <w:t>.  La cour d</w:t>
      </w:r>
      <w:r w:rsidR="00421225" w:rsidRPr="00421225">
        <w:rPr>
          <w:lang w:val="fr-FR"/>
        </w:rPr>
        <w:t>’</w:t>
      </w:r>
      <w:r w:rsidRPr="00421225">
        <w:rPr>
          <w:lang w:val="fr-FR"/>
        </w:rPr>
        <w:t>appel ajouta qu</w:t>
      </w:r>
      <w:r w:rsidR="00421225" w:rsidRPr="00421225">
        <w:rPr>
          <w:lang w:val="fr-FR"/>
        </w:rPr>
        <w:t>’</w:t>
      </w:r>
      <w:r w:rsidRPr="00421225">
        <w:rPr>
          <w:lang w:val="fr-FR"/>
        </w:rPr>
        <w:t>il n</w:t>
      </w:r>
      <w:r w:rsidR="00421225" w:rsidRPr="00421225">
        <w:rPr>
          <w:lang w:val="fr-FR"/>
        </w:rPr>
        <w:t>’</w:t>
      </w:r>
      <w:r w:rsidRPr="00421225">
        <w:rPr>
          <w:lang w:val="fr-FR"/>
        </w:rPr>
        <w:t>était pas possible d</w:t>
      </w:r>
      <w:r w:rsidR="00421225" w:rsidRPr="00421225">
        <w:rPr>
          <w:lang w:val="fr-FR"/>
        </w:rPr>
        <w:t>’</w:t>
      </w:r>
      <w:r w:rsidRPr="00421225">
        <w:rPr>
          <w:lang w:val="fr-FR"/>
        </w:rPr>
        <w:t>effectuer des recherches ultérieures dans le lieu de naissance ou de dernière résidence à l</w:t>
      </w:r>
      <w:r w:rsidR="00421225" w:rsidRPr="00421225">
        <w:rPr>
          <w:lang w:val="fr-FR"/>
        </w:rPr>
        <w:t>’</w:t>
      </w:r>
      <w:r w:rsidRPr="00421225">
        <w:rPr>
          <w:lang w:val="fr-FR"/>
        </w:rPr>
        <w:t>étranger de B car il s</w:t>
      </w:r>
      <w:r w:rsidR="00421225" w:rsidRPr="00421225">
        <w:rPr>
          <w:lang w:val="fr-FR"/>
        </w:rPr>
        <w:t>’</w:t>
      </w:r>
      <w:r w:rsidRPr="00421225">
        <w:rPr>
          <w:lang w:val="fr-FR"/>
        </w:rPr>
        <w:t>agissait d</w:t>
      </w:r>
      <w:r w:rsidR="00421225" w:rsidRPr="00421225">
        <w:rPr>
          <w:lang w:val="fr-FR"/>
        </w:rPr>
        <w:t>’</w:t>
      </w:r>
      <w:r w:rsidRPr="00421225">
        <w:rPr>
          <w:lang w:val="fr-FR"/>
        </w:rPr>
        <w:t>un homme né à Casablanca et dont l</w:t>
      </w:r>
      <w:r w:rsidR="00421225" w:rsidRPr="00421225">
        <w:rPr>
          <w:lang w:val="fr-FR"/>
        </w:rPr>
        <w:t>’</w:t>
      </w:r>
      <w:r w:rsidRPr="00421225">
        <w:rPr>
          <w:lang w:val="fr-FR"/>
        </w:rPr>
        <w:t>adresse au Maroc était inconnue.</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22</w:t>
      </w:r>
      <w:r w:rsidRPr="00421225">
        <w:rPr>
          <w:lang w:val="fr-FR"/>
        </w:rPr>
        <w:fldChar w:fldCharType="end"/>
      </w:r>
      <w:r w:rsidRPr="00421225">
        <w:rPr>
          <w:lang w:val="fr-FR"/>
        </w:rPr>
        <w:t>.  La cour d</w:t>
      </w:r>
      <w:r w:rsidR="00421225" w:rsidRPr="00421225">
        <w:rPr>
          <w:lang w:val="fr-FR"/>
        </w:rPr>
        <w:t>’</w:t>
      </w:r>
      <w:r w:rsidRPr="00421225">
        <w:rPr>
          <w:lang w:val="fr-FR"/>
        </w:rPr>
        <w:t>appel nota ensuite que les déclarations de A pouvaient être utilisées comme preuve à charge ; cependant, s</w:t>
      </w:r>
      <w:r w:rsidR="00421225" w:rsidRPr="00421225">
        <w:rPr>
          <w:lang w:val="fr-FR"/>
        </w:rPr>
        <w:t>’</w:t>
      </w:r>
      <w:r w:rsidRPr="00421225">
        <w:rPr>
          <w:lang w:val="fr-FR"/>
        </w:rPr>
        <w:t>agissant d</w:t>
      </w:r>
      <w:r w:rsidR="00421225" w:rsidRPr="00421225">
        <w:rPr>
          <w:lang w:val="fr-FR"/>
        </w:rPr>
        <w:t>’</w:t>
      </w:r>
      <w:r w:rsidRPr="00421225">
        <w:rPr>
          <w:lang w:val="fr-FR"/>
        </w:rPr>
        <w:t>un témoignage provenant de la victime, sa crédibilité devait être vérifiée avec rigueur. Or, la version de A était crédible et les examens médicaux effectués sur elle, qui faisaient uniquement état d</w:t>
      </w:r>
      <w:r w:rsidR="00421225" w:rsidRPr="00421225">
        <w:rPr>
          <w:lang w:val="fr-FR"/>
        </w:rPr>
        <w:t>’</w:t>
      </w:r>
      <w:r w:rsidRPr="00421225">
        <w:rPr>
          <w:lang w:val="fr-FR"/>
        </w:rPr>
        <w:t>une excoriation au genou, étaient compatibles avec un viol perpétré avec menace de mort. Rien ne donnait à penser que A avait menti, d</w:t>
      </w:r>
      <w:r w:rsidR="00421225" w:rsidRPr="00421225">
        <w:rPr>
          <w:lang w:val="fr-FR"/>
        </w:rPr>
        <w:t>’</w:t>
      </w:r>
      <w:r w:rsidRPr="00421225">
        <w:rPr>
          <w:lang w:val="fr-FR"/>
        </w:rPr>
        <w:t>autant plus que sa version était confirmée par B, qui n</w:t>
      </w:r>
      <w:r w:rsidR="00421225" w:rsidRPr="00421225">
        <w:rPr>
          <w:lang w:val="fr-FR"/>
        </w:rPr>
        <w:t>’</w:t>
      </w:r>
      <w:r w:rsidRPr="00421225">
        <w:rPr>
          <w:lang w:val="fr-FR"/>
        </w:rPr>
        <w:t>avait aucune raison pour accuser le requérant, qui était un concitoyen marocain et un collègue de travail. De plus, avant les faits délictueux, A et B ne se connaissaient pas.</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23</w:t>
      </w:r>
      <w:r w:rsidRPr="00421225">
        <w:rPr>
          <w:lang w:val="fr-FR"/>
        </w:rPr>
        <w:fldChar w:fldCharType="end"/>
      </w:r>
      <w:r w:rsidRPr="00421225">
        <w:rPr>
          <w:lang w:val="fr-FR"/>
        </w:rPr>
        <w:t>.  Enfin, la version de A était corroborée par le témoignage du carabinier ayant recueilli sa plainte, et la circonstance que l</w:t>
      </w:r>
      <w:r w:rsidR="00421225" w:rsidRPr="00421225">
        <w:rPr>
          <w:lang w:val="fr-FR"/>
        </w:rPr>
        <w:t>’</w:t>
      </w:r>
      <w:r w:rsidRPr="00421225">
        <w:rPr>
          <w:lang w:val="fr-FR"/>
        </w:rPr>
        <w:t>examen gynécologique n</w:t>
      </w:r>
      <w:r w:rsidR="00421225" w:rsidRPr="00421225">
        <w:rPr>
          <w:lang w:val="fr-FR"/>
        </w:rPr>
        <w:t>’</w:t>
      </w:r>
      <w:r w:rsidRPr="00421225">
        <w:rPr>
          <w:lang w:val="fr-FR"/>
        </w:rPr>
        <w:t>avait pas révélé la présence de liquide séminal n</w:t>
      </w:r>
      <w:r w:rsidR="00421225" w:rsidRPr="00421225">
        <w:rPr>
          <w:lang w:val="fr-FR"/>
        </w:rPr>
        <w:t>’</w:t>
      </w:r>
      <w:r w:rsidRPr="00421225">
        <w:rPr>
          <w:lang w:val="fr-FR"/>
        </w:rPr>
        <w:t>était pas de nature à innocenter le requérant, étant donné que les modalités de l</w:t>
      </w:r>
      <w:r w:rsidR="00421225" w:rsidRPr="00421225">
        <w:rPr>
          <w:lang w:val="fr-FR"/>
        </w:rPr>
        <w:t>’</w:t>
      </w:r>
      <w:r w:rsidRPr="00421225">
        <w:rPr>
          <w:lang w:val="fr-FR"/>
        </w:rPr>
        <w:t>éjaculation demeuraient inconnues.</w:t>
      </w:r>
    </w:p>
    <w:p w:rsidR="001F4044" w:rsidRPr="00421225" w:rsidRDefault="001F4044" w:rsidP="00421225">
      <w:pPr>
        <w:pStyle w:val="ECHRHeading2"/>
        <w:rPr>
          <w:lang w:val="fr-FR"/>
        </w:rPr>
      </w:pPr>
      <w:r w:rsidRPr="00421225">
        <w:rPr>
          <w:lang w:val="fr-FR"/>
        </w:rPr>
        <w:t>D.  Le pourvoi en cassation</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24</w:t>
      </w:r>
      <w:r w:rsidRPr="00421225">
        <w:rPr>
          <w:lang w:val="fr-FR"/>
        </w:rPr>
        <w:fldChar w:fldCharType="end"/>
      </w:r>
      <w:r w:rsidRPr="00421225">
        <w:rPr>
          <w:lang w:val="fr-FR"/>
        </w:rPr>
        <w:t>.  Le requérant se pourvut en cassation, réitérant ses allégations concernant l</w:t>
      </w:r>
      <w:r w:rsidR="00421225" w:rsidRPr="00421225">
        <w:rPr>
          <w:lang w:val="fr-FR"/>
        </w:rPr>
        <w:t>’</w:t>
      </w:r>
      <w:r w:rsidRPr="00421225">
        <w:rPr>
          <w:lang w:val="fr-FR"/>
        </w:rPr>
        <w:t>impossibilité d</w:t>
      </w:r>
      <w:r w:rsidR="00421225" w:rsidRPr="00421225">
        <w:rPr>
          <w:lang w:val="fr-FR"/>
        </w:rPr>
        <w:t>’</w:t>
      </w:r>
      <w:r w:rsidRPr="00421225">
        <w:rPr>
          <w:lang w:val="fr-FR"/>
        </w:rPr>
        <w:t>utiliser la déposition de B. Il affirma en outre que la crédibilité de A n</w:t>
      </w:r>
      <w:r w:rsidR="00421225" w:rsidRPr="00421225">
        <w:rPr>
          <w:lang w:val="fr-FR"/>
        </w:rPr>
        <w:t>’</w:t>
      </w:r>
      <w:r w:rsidRPr="00421225">
        <w:rPr>
          <w:lang w:val="fr-FR"/>
        </w:rPr>
        <w:t>avait pas été dûment évaluée et que les examens gynécologiques tendaient à exclure l</w:t>
      </w:r>
      <w:r w:rsidR="00421225" w:rsidRPr="00421225">
        <w:rPr>
          <w:lang w:val="fr-FR"/>
        </w:rPr>
        <w:t>’</w:t>
      </w:r>
      <w:r w:rsidRPr="00421225">
        <w:rPr>
          <w:lang w:val="fr-FR"/>
        </w:rPr>
        <w:t>existence de tout rapport sexuel entre lui et la victime présumée.</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25</w:t>
      </w:r>
      <w:r w:rsidRPr="00421225">
        <w:rPr>
          <w:lang w:val="fr-FR"/>
        </w:rPr>
        <w:fldChar w:fldCharType="end"/>
      </w:r>
      <w:r w:rsidRPr="00421225">
        <w:rPr>
          <w:lang w:val="fr-FR"/>
        </w:rPr>
        <w:t>.  Par un arrêt du 13 juin 2012, dont le texte fut déposé au greffe le 25 juillet 2012, la Cour de cassation, estimant que la cour d</w:t>
      </w:r>
      <w:r w:rsidR="00421225" w:rsidRPr="00421225">
        <w:rPr>
          <w:lang w:val="fr-FR"/>
        </w:rPr>
        <w:t>’</w:t>
      </w:r>
      <w:r w:rsidRPr="00421225">
        <w:rPr>
          <w:lang w:val="fr-FR"/>
        </w:rPr>
        <w:t>appel avait motivé de façon logique et correcte tous les points controversés, débouta le requérant de son pourvoi.</w:t>
      </w:r>
    </w:p>
    <w:p w:rsidR="001F4044" w:rsidRPr="00421225" w:rsidRDefault="001F4044" w:rsidP="00421225">
      <w:pPr>
        <w:pStyle w:val="ECHRPara"/>
        <w:rPr>
          <w:lang w:val="fr-FR"/>
        </w:rPr>
      </w:pPr>
      <w:r w:rsidRPr="00421225">
        <w:rPr>
          <w:lang w:val="fr-FR"/>
        </w:rPr>
        <w:lastRenderedPageBreak/>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26</w:t>
      </w:r>
      <w:r w:rsidRPr="00421225">
        <w:rPr>
          <w:lang w:val="fr-FR"/>
        </w:rPr>
        <w:fldChar w:fldCharType="end"/>
      </w:r>
      <w:r w:rsidRPr="00421225">
        <w:rPr>
          <w:lang w:val="fr-FR"/>
        </w:rPr>
        <w:t>.  La Cour de cassation observa que la cour d</w:t>
      </w:r>
      <w:r w:rsidR="00421225" w:rsidRPr="00421225">
        <w:rPr>
          <w:lang w:val="fr-FR"/>
        </w:rPr>
        <w:t>’</w:t>
      </w:r>
      <w:r w:rsidRPr="00421225">
        <w:rPr>
          <w:lang w:val="fr-FR"/>
        </w:rPr>
        <w:t>appel avait clarifié que des recherches ultérieures et efficaces de B s</w:t>
      </w:r>
      <w:r w:rsidR="00421225" w:rsidRPr="00421225">
        <w:rPr>
          <w:lang w:val="fr-FR"/>
        </w:rPr>
        <w:t>’</w:t>
      </w:r>
      <w:r w:rsidRPr="00421225">
        <w:rPr>
          <w:lang w:val="fr-FR"/>
        </w:rPr>
        <w:t>avéraient impossibles. Se conformant à la jurisprudence en la matière, elle avait établi : a) que ce témoin était introuvable, b) que l</w:t>
      </w:r>
      <w:r w:rsidR="00421225" w:rsidRPr="00421225">
        <w:rPr>
          <w:lang w:val="fr-FR"/>
        </w:rPr>
        <w:t>’</w:t>
      </w:r>
      <w:r w:rsidRPr="00421225">
        <w:rPr>
          <w:lang w:val="fr-FR"/>
        </w:rPr>
        <w:t>impossibilité de réitérer son témoignage n</w:t>
      </w:r>
      <w:r w:rsidR="00421225" w:rsidRPr="00421225">
        <w:rPr>
          <w:lang w:val="fr-FR"/>
        </w:rPr>
        <w:t>’</w:t>
      </w:r>
      <w:r w:rsidRPr="00421225">
        <w:rPr>
          <w:lang w:val="fr-FR"/>
        </w:rPr>
        <w:t>était pas prévisible, et c) que l</w:t>
      </w:r>
      <w:r w:rsidR="00421225" w:rsidRPr="00421225">
        <w:rPr>
          <w:lang w:val="fr-FR"/>
        </w:rPr>
        <w:t>’</w:t>
      </w:r>
      <w:r w:rsidRPr="00421225">
        <w:rPr>
          <w:lang w:val="fr-FR"/>
        </w:rPr>
        <w:t>absence du témoin n</w:t>
      </w:r>
      <w:r w:rsidR="00421225" w:rsidRPr="00421225">
        <w:rPr>
          <w:lang w:val="fr-FR"/>
        </w:rPr>
        <w:t>’</w:t>
      </w:r>
      <w:r w:rsidRPr="00421225">
        <w:rPr>
          <w:lang w:val="fr-FR"/>
        </w:rPr>
        <w:t>était pas due au libre choix de ce dernier de se soustraire à l</w:t>
      </w:r>
      <w:r w:rsidR="00421225" w:rsidRPr="00421225">
        <w:rPr>
          <w:lang w:val="fr-FR"/>
        </w:rPr>
        <w:t>’</w:t>
      </w:r>
      <w:r w:rsidRPr="00421225">
        <w:rPr>
          <w:lang w:val="fr-FR"/>
        </w:rPr>
        <w:t>interrogatoire. En particulier, les autorités avaient essayé de notifier à B la citation à comparaître auprès du domicile qu</w:t>
      </w:r>
      <w:r w:rsidR="00421225" w:rsidRPr="00421225">
        <w:rPr>
          <w:lang w:val="fr-FR"/>
        </w:rPr>
        <w:t>’</w:t>
      </w:r>
      <w:r w:rsidRPr="00421225">
        <w:rPr>
          <w:lang w:val="fr-FR"/>
        </w:rPr>
        <w:t>il avait élu et un procès-verbal de recherches vaines avait été rédigé. De plus, B était d</w:t>
      </w:r>
      <w:r w:rsidR="00421225" w:rsidRPr="00421225">
        <w:rPr>
          <w:lang w:val="fr-FR"/>
        </w:rPr>
        <w:t>’</w:t>
      </w:r>
      <w:r w:rsidRPr="00421225">
        <w:rPr>
          <w:lang w:val="fr-FR"/>
        </w:rPr>
        <w:t>origine marocaine et son lieu de résidence était inconnu. Par ailleurs, il avait séjourné longtemps en Italie et y exerçait un travail régulier et stable, ce qui ne permettait pas de qualifier son absence de « prévisible ». Enfin, rien ne permettait de penser que B avait l</w:t>
      </w:r>
      <w:r w:rsidR="00421225" w:rsidRPr="00421225">
        <w:rPr>
          <w:lang w:val="fr-FR"/>
        </w:rPr>
        <w:t>’</w:t>
      </w:r>
      <w:r w:rsidRPr="00421225">
        <w:rPr>
          <w:lang w:val="fr-FR"/>
        </w:rPr>
        <w:t>intention de se soustraire à l</w:t>
      </w:r>
      <w:r w:rsidR="00421225" w:rsidRPr="00421225">
        <w:rPr>
          <w:lang w:val="fr-FR"/>
        </w:rPr>
        <w:t>’</w:t>
      </w:r>
      <w:r w:rsidRPr="00421225">
        <w:rPr>
          <w:lang w:val="fr-FR"/>
        </w:rPr>
        <w:t>interrogatoire.</w:t>
      </w:r>
    </w:p>
    <w:p w:rsidR="00E77CB3"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27</w:t>
      </w:r>
      <w:r w:rsidRPr="00421225">
        <w:rPr>
          <w:lang w:val="fr-FR"/>
        </w:rPr>
        <w:fldChar w:fldCharType="end"/>
      </w:r>
      <w:r w:rsidRPr="00421225">
        <w:rPr>
          <w:lang w:val="fr-FR"/>
        </w:rPr>
        <w:t>.  Au demeurant, la Cour de cassation observa que la cour d</w:t>
      </w:r>
      <w:r w:rsidR="00421225" w:rsidRPr="00421225">
        <w:rPr>
          <w:lang w:val="fr-FR"/>
        </w:rPr>
        <w:t>’</w:t>
      </w:r>
      <w:r w:rsidRPr="00421225">
        <w:rPr>
          <w:lang w:val="fr-FR"/>
        </w:rPr>
        <w:t>appel avait examiné les déclarations de A, les estimant crédibles et corroborées par celles de B et du carabinier qui avait recueilli la plainte de la victime.</w:t>
      </w:r>
    </w:p>
    <w:p w:rsidR="00E77CB3" w:rsidRPr="00421225" w:rsidRDefault="00E77CB3" w:rsidP="00421225">
      <w:pPr>
        <w:pStyle w:val="ECHRHeading1"/>
        <w:rPr>
          <w:lang w:val="fr-FR"/>
        </w:rPr>
      </w:pPr>
      <w:r w:rsidRPr="00421225">
        <w:rPr>
          <w:lang w:val="fr-FR"/>
        </w:rPr>
        <w:t>II.  LE DROIT INTERNE PERTINENT</w:t>
      </w:r>
    </w:p>
    <w:p w:rsidR="001F4044"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28</w:t>
      </w:r>
      <w:r w:rsidRPr="00421225">
        <w:rPr>
          <w:lang w:val="fr-FR"/>
        </w:rPr>
        <w:fldChar w:fldCharType="end"/>
      </w:r>
      <w:r w:rsidR="00E77CB3" w:rsidRPr="00421225">
        <w:rPr>
          <w:lang w:val="fr-FR"/>
        </w:rPr>
        <w:t>.  </w:t>
      </w:r>
      <w:r w:rsidR="001F4044" w:rsidRPr="00421225">
        <w:rPr>
          <w:lang w:val="fr-FR"/>
        </w:rPr>
        <w:t>L</w:t>
      </w:r>
      <w:r w:rsidR="00421225" w:rsidRPr="00421225">
        <w:rPr>
          <w:lang w:val="fr-FR"/>
        </w:rPr>
        <w:t>’</w:t>
      </w:r>
      <w:r w:rsidR="001F4044" w:rsidRPr="00421225">
        <w:rPr>
          <w:lang w:val="fr-FR"/>
        </w:rPr>
        <w:t>article 512 du CPP se lit ainsi :</w:t>
      </w:r>
    </w:p>
    <w:p w:rsidR="001F4044" w:rsidRPr="00421225" w:rsidRDefault="001F4044" w:rsidP="00421225">
      <w:pPr>
        <w:pStyle w:val="ECHRParaQuote"/>
        <w:keepLines/>
        <w:rPr>
          <w:lang w:val="fr-FR"/>
        </w:rPr>
      </w:pPr>
      <w:r w:rsidRPr="00421225">
        <w:rPr>
          <w:lang w:val="fr-FR"/>
        </w:rPr>
        <w:t>« Le juge, à la demande des parties, ordonne la lecture des actes accomplis par la police judiciaire, par le parquet, par les défenseurs des parties privées et par le juge dans le cadre de l</w:t>
      </w:r>
      <w:r w:rsidR="00421225" w:rsidRPr="00421225">
        <w:rPr>
          <w:lang w:val="fr-FR"/>
        </w:rPr>
        <w:t>’</w:t>
      </w:r>
      <w:r w:rsidRPr="00421225">
        <w:rPr>
          <w:lang w:val="fr-FR"/>
        </w:rPr>
        <w:t>audience préliminaire lorsque, pour des faits ou circonstances imprévisibles, leur réitération est devenue impossible. »</w:t>
      </w:r>
    </w:p>
    <w:p w:rsidR="001F4044" w:rsidRPr="00421225" w:rsidRDefault="001F4044" w:rsidP="00421225">
      <w:pPr>
        <w:pStyle w:val="ECHRPara"/>
        <w:keepNext/>
        <w:keepLines/>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29</w:t>
      </w:r>
      <w:r w:rsidRPr="00421225">
        <w:rPr>
          <w:lang w:val="fr-FR"/>
        </w:rPr>
        <w:fldChar w:fldCharType="end"/>
      </w:r>
      <w:r w:rsidRPr="00421225">
        <w:rPr>
          <w:lang w:val="fr-FR"/>
        </w:rPr>
        <w:t>.  Aux termes de l</w:t>
      </w:r>
      <w:r w:rsidR="00421225" w:rsidRPr="00421225">
        <w:rPr>
          <w:lang w:val="fr-FR"/>
        </w:rPr>
        <w:t>’</w:t>
      </w:r>
      <w:r w:rsidRPr="00421225">
        <w:rPr>
          <w:lang w:val="fr-FR"/>
        </w:rPr>
        <w:t>article 526 §§ 1 et 1</w:t>
      </w:r>
      <w:r w:rsidRPr="00421225">
        <w:rPr>
          <w:i/>
          <w:lang w:val="fr-FR"/>
        </w:rPr>
        <w:t xml:space="preserve">bis </w:t>
      </w:r>
      <w:r w:rsidRPr="00421225">
        <w:rPr>
          <w:lang w:val="fr-FR"/>
        </w:rPr>
        <w:t>du CPP,</w:t>
      </w:r>
    </w:p>
    <w:p w:rsidR="001F4044" w:rsidRPr="00421225" w:rsidRDefault="001F4044" w:rsidP="00421225">
      <w:pPr>
        <w:pStyle w:val="ECHRParaQuote"/>
        <w:rPr>
          <w:lang w:val="fr-FR"/>
        </w:rPr>
      </w:pPr>
      <w:r w:rsidRPr="00421225">
        <w:rPr>
          <w:lang w:val="fr-FR"/>
        </w:rPr>
        <w:t>« 1.  Le juge ne peut pas utiliser pour sa décision des preuves autres que celles légitimement acquises au cours des débats.</w:t>
      </w:r>
    </w:p>
    <w:p w:rsidR="001F4044" w:rsidRPr="00421225" w:rsidRDefault="001F4044" w:rsidP="00421225">
      <w:pPr>
        <w:pStyle w:val="ECHRParaQuote"/>
        <w:rPr>
          <w:lang w:val="fr-FR"/>
        </w:rPr>
      </w:pPr>
      <w:r w:rsidRPr="00421225">
        <w:rPr>
          <w:lang w:val="fr-FR"/>
        </w:rPr>
        <w:t>1</w:t>
      </w:r>
      <w:r w:rsidRPr="00421225">
        <w:rPr>
          <w:i/>
          <w:lang w:val="fr-FR"/>
        </w:rPr>
        <w:t>bis</w:t>
      </w:r>
      <w:r w:rsidRPr="00421225">
        <w:rPr>
          <w:lang w:val="fr-FR"/>
        </w:rPr>
        <w:t>.  La culpabilité du prévenu ne peut pas être établie sur la base des déclarations faites par les personnes qui, par leur libre choix, se sont toujours et volontairement soustraites à l</w:t>
      </w:r>
      <w:r w:rsidR="00421225" w:rsidRPr="00421225">
        <w:rPr>
          <w:lang w:val="fr-FR"/>
        </w:rPr>
        <w:t>’</w:t>
      </w:r>
      <w:r w:rsidRPr="00421225">
        <w:rPr>
          <w:lang w:val="fr-FR"/>
        </w:rPr>
        <w:t>interrogatoire par l</w:t>
      </w:r>
      <w:r w:rsidR="00421225" w:rsidRPr="00421225">
        <w:rPr>
          <w:lang w:val="fr-FR"/>
        </w:rPr>
        <w:t>’</w:t>
      </w:r>
      <w:r w:rsidRPr="00421225">
        <w:rPr>
          <w:lang w:val="fr-FR"/>
        </w:rPr>
        <w:t>accusé ou son défenseur. »</w:t>
      </w:r>
    </w:p>
    <w:p w:rsidR="001F4044" w:rsidRPr="00421225" w:rsidRDefault="001F4044" w:rsidP="00421225">
      <w:pPr>
        <w:pStyle w:val="ECHRPara"/>
        <w:keepNext/>
        <w:keepLines/>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30</w:t>
      </w:r>
      <w:r w:rsidRPr="00421225">
        <w:rPr>
          <w:lang w:val="fr-FR"/>
        </w:rPr>
        <w:fldChar w:fldCharType="end"/>
      </w:r>
      <w:r w:rsidRPr="00421225">
        <w:rPr>
          <w:lang w:val="fr-FR"/>
        </w:rPr>
        <w:t>.  En 1999, le Parlement a décidé d</w:t>
      </w:r>
      <w:r w:rsidR="00421225" w:rsidRPr="00421225">
        <w:rPr>
          <w:lang w:val="fr-FR"/>
        </w:rPr>
        <w:t>’</w:t>
      </w:r>
      <w:r w:rsidRPr="00421225">
        <w:rPr>
          <w:lang w:val="fr-FR"/>
        </w:rPr>
        <w:t>insérer le principe du procès équitable dans la Constitution elle-même (voir la loi constitutionnelle n</w:t>
      </w:r>
      <w:r w:rsidR="00067925" w:rsidRPr="00421225">
        <w:rPr>
          <w:vertAlign w:val="superscript"/>
          <w:lang w:val="fr-FR"/>
        </w:rPr>
        <w:t>o</w:t>
      </w:r>
      <w:r w:rsidRPr="00421225">
        <w:rPr>
          <w:lang w:val="fr-FR"/>
        </w:rPr>
        <w:t xml:space="preserve"> 2 du 23 novembre 1999). L</w:t>
      </w:r>
      <w:r w:rsidR="00421225" w:rsidRPr="00421225">
        <w:rPr>
          <w:lang w:val="fr-FR"/>
        </w:rPr>
        <w:t>’</w:t>
      </w:r>
      <w:r w:rsidRPr="00421225">
        <w:rPr>
          <w:lang w:val="fr-FR"/>
        </w:rPr>
        <w:t>article 111 de la Constitution, dans sa nouvelle formulation et dans ses parties pertinentes, se lit ainsi :</w:t>
      </w:r>
    </w:p>
    <w:p w:rsidR="00E77CB3" w:rsidRPr="00421225" w:rsidRDefault="001F4044" w:rsidP="00421225">
      <w:pPr>
        <w:pStyle w:val="ECHRParaQuote"/>
        <w:rPr>
          <w:lang w:val="fr-FR"/>
        </w:rPr>
      </w:pPr>
      <w:r w:rsidRPr="00421225">
        <w:rPr>
          <w:lang w:val="fr-FR"/>
        </w:rPr>
        <w:t>«  (...) Dans le cadre du procès pénal, la loi garantit que la personne accusée d</w:t>
      </w:r>
      <w:r w:rsidR="00421225" w:rsidRPr="00421225">
        <w:rPr>
          <w:lang w:val="fr-FR"/>
        </w:rPr>
        <w:t>’</w:t>
      </w:r>
      <w:r w:rsidRPr="00421225">
        <w:rPr>
          <w:lang w:val="fr-FR"/>
        </w:rPr>
        <w:t>une infraction (...) a la faculté, devant le juge, d</w:t>
      </w:r>
      <w:r w:rsidR="00421225" w:rsidRPr="00421225">
        <w:rPr>
          <w:lang w:val="fr-FR"/>
        </w:rPr>
        <w:t>’</w:t>
      </w:r>
      <w:r w:rsidRPr="00421225">
        <w:rPr>
          <w:lang w:val="fr-FR"/>
        </w:rPr>
        <w:t>interroger ou de faire interroger toute personne formulant des déclarations à charge (...). La culpabilité de l</w:t>
      </w:r>
      <w:r w:rsidR="00421225" w:rsidRPr="00421225">
        <w:rPr>
          <w:lang w:val="fr-FR"/>
        </w:rPr>
        <w:t>’</w:t>
      </w:r>
      <w:r w:rsidRPr="00421225">
        <w:rPr>
          <w:lang w:val="fr-FR"/>
        </w:rPr>
        <w:t>accusé ne peut pas être prouvée sur la base de déclarations faites par une personne qui s</w:t>
      </w:r>
      <w:r w:rsidR="00421225" w:rsidRPr="00421225">
        <w:rPr>
          <w:lang w:val="fr-FR"/>
        </w:rPr>
        <w:t>’</w:t>
      </w:r>
      <w:r w:rsidRPr="00421225">
        <w:rPr>
          <w:lang w:val="fr-FR"/>
        </w:rPr>
        <w:t xml:space="preserve">est toujours librement et volontairement soustraite à </w:t>
      </w:r>
      <w:r w:rsidR="00BA2760" w:rsidRPr="00421225">
        <w:rPr>
          <w:lang w:val="fr-FR"/>
        </w:rPr>
        <w:t>l</w:t>
      </w:r>
      <w:r w:rsidR="00421225" w:rsidRPr="00421225">
        <w:rPr>
          <w:lang w:val="fr-FR"/>
        </w:rPr>
        <w:t>’</w:t>
      </w:r>
      <w:r w:rsidR="00BA2760" w:rsidRPr="00421225">
        <w:rPr>
          <w:lang w:val="fr-FR"/>
        </w:rPr>
        <w:t>interrogatoire</w:t>
      </w:r>
      <w:r w:rsidRPr="00421225">
        <w:rPr>
          <w:lang w:val="fr-FR"/>
        </w:rPr>
        <w:t xml:space="preserve"> par l</w:t>
      </w:r>
      <w:r w:rsidR="00421225" w:rsidRPr="00421225">
        <w:rPr>
          <w:lang w:val="fr-FR"/>
        </w:rPr>
        <w:t>’</w:t>
      </w:r>
      <w:r w:rsidRPr="00421225">
        <w:rPr>
          <w:lang w:val="fr-FR"/>
        </w:rPr>
        <w:t>accusé ou son défenseur. La loi réglemente les cas où un examen contradictoire des moyens de preuve n</w:t>
      </w:r>
      <w:r w:rsidR="00421225" w:rsidRPr="00421225">
        <w:rPr>
          <w:lang w:val="fr-FR"/>
        </w:rPr>
        <w:t>’</w:t>
      </w:r>
      <w:r w:rsidRPr="00421225">
        <w:rPr>
          <w:lang w:val="fr-FR"/>
        </w:rPr>
        <w:t>a pas lieu, avec le consentement de l</w:t>
      </w:r>
      <w:r w:rsidR="00421225" w:rsidRPr="00421225">
        <w:rPr>
          <w:lang w:val="fr-FR"/>
        </w:rPr>
        <w:t>’</w:t>
      </w:r>
      <w:r w:rsidRPr="00421225">
        <w:rPr>
          <w:lang w:val="fr-FR"/>
        </w:rPr>
        <w:t>accusé ou en raison d</w:t>
      </w:r>
      <w:r w:rsidR="00421225" w:rsidRPr="00421225">
        <w:rPr>
          <w:lang w:val="fr-FR"/>
        </w:rPr>
        <w:t>’</w:t>
      </w:r>
      <w:r w:rsidRPr="00421225">
        <w:rPr>
          <w:lang w:val="fr-FR"/>
        </w:rPr>
        <w:t>une impossibilité objective dûment prouvée ou encore en raison d</w:t>
      </w:r>
      <w:r w:rsidR="00421225" w:rsidRPr="00421225">
        <w:rPr>
          <w:lang w:val="fr-FR"/>
        </w:rPr>
        <w:t>’</w:t>
      </w:r>
      <w:r w:rsidRPr="00421225">
        <w:rPr>
          <w:lang w:val="fr-FR"/>
        </w:rPr>
        <w:t>un comportement illicite dûment prouvé. »</w:t>
      </w:r>
    </w:p>
    <w:p w:rsidR="00E77CB3" w:rsidRPr="00421225" w:rsidRDefault="00E77CB3" w:rsidP="00421225">
      <w:pPr>
        <w:pStyle w:val="ECHRTitle1"/>
        <w:rPr>
          <w:lang w:val="fr-FR"/>
        </w:rPr>
      </w:pPr>
      <w:r w:rsidRPr="00421225">
        <w:rPr>
          <w:lang w:val="fr-FR"/>
        </w:rPr>
        <w:lastRenderedPageBreak/>
        <w:t>EN DROIT</w:t>
      </w:r>
    </w:p>
    <w:p w:rsidR="00E77CB3" w:rsidRPr="00421225" w:rsidRDefault="00E77CB3" w:rsidP="00421225">
      <w:pPr>
        <w:pStyle w:val="ECHRHeading1"/>
        <w:tabs>
          <w:tab w:val="clear" w:pos="357"/>
          <w:tab w:val="left" w:pos="0"/>
        </w:tabs>
        <w:ind w:left="0" w:firstLine="0"/>
        <w:rPr>
          <w:lang w:val="fr-FR"/>
        </w:rPr>
      </w:pPr>
      <w:r w:rsidRPr="00421225">
        <w:rPr>
          <w:lang w:val="fr-FR"/>
        </w:rPr>
        <w:t>SUR LA VIOLATION ALLÉGUÉE DE L</w:t>
      </w:r>
      <w:r w:rsidR="00421225" w:rsidRPr="00421225">
        <w:rPr>
          <w:lang w:val="fr-FR"/>
        </w:rPr>
        <w:t>’</w:t>
      </w:r>
      <w:r w:rsidRPr="00421225">
        <w:rPr>
          <w:lang w:val="fr-FR"/>
        </w:rPr>
        <w:t xml:space="preserve">ARTICLE </w:t>
      </w:r>
      <w:r w:rsidR="001F4044" w:rsidRPr="00421225">
        <w:rPr>
          <w:lang w:val="fr-FR"/>
        </w:rPr>
        <w:t>6 §§ 1 ET 3 d)</w:t>
      </w:r>
      <w:r w:rsidRPr="00421225">
        <w:rPr>
          <w:lang w:val="fr-FR"/>
        </w:rPr>
        <w:t xml:space="preserve"> DE LA CONVENTION</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31</w:t>
      </w:r>
      <w:r w:rsidRPr="00421225">
        <w:rPr>
          <w:lang w:val="fr-FR"/>
        </w:rPr>
        <w:fldChar w:fldCharType="end"/>
      </w:r>
      <w:r w:rsidRPr="00421225">
        <w:rPr>
          <w:lang w:val="fr-FR"/>
        </w:rPr>
        <w:t>.  Le requérant considère que la procédure pénale à son encontre n</w:t>
      </w:r>
      <w:r w:rsidR="00421225" w:rsidRPr="00421225">
        <w:rPr>
          <w:lang w:val="fr-FR"/>
        </w:rPr>
        <w:t>’</w:t>
      </w:r>
      <w:r w:rsidRPr="00421225">
        <w:rPr>
          <w:lang w:val="fr-FR"/>
        </w:rPr>
        <w:t>a pas été équitable. Il invoque l</w:t>
      </w:r>
      <w:r w:rsidR="00421225" w:rsidRPr="00421225">
        <w:rPr>
          <w:lang w:val="fr-FR"/>
        </w:rPr>
        <w:t>’</w:t>
      </w:r>
      <w:r w:rsidRPr="00421225">
        <w:rPr>
          <w:lang w:val="fr-FR"/>
        </w:rPr>
        <w:t>article 6 §§ 1 et 3 d) de la Convention, qui, en ses parties pertinentes, est ainsi libellé :</w:t>
      </w:r>
    </w:p>
    <w:p w:rsidR="001F4044" w:rsidRPr="00421225" w:rsidRDefault="001F4044" w:rsidP="00421225">
      <w:pPr>
        <w:pStyle w:val="ECHRParaQuote"/>
        <w:rPr>
          <w:lang w:val="fr-FR"/>
        </w:rPr>
      </w:pPr>
      <w:r w:rsidRPr="00421225">
        <w:rPr>
          <w:lang w:val="fr-FR"/>
        </w:rPr>
        <w:t>« 1.  Toute personne a droit à ce que sa cause soit entendue équitablement (</w:t>
      </w:r>
      <w:r w:rsidR="00067925" w:rsidRPr="00421225">
        <w:rPr>
          <w:lang w:val="fr-FR"/>
        </w:rPr>
        <w:t>...</w:t>
      </w:r>
      <w:r w:rsidRPr="00421225">
        <w:rPr>
          <w:lang w:val="fr-FR"/>
        </w:rPr>
        <w:t>) par un tribunal (</w:t>
      </w:r>
      <w:r w:rsidR="00067925" w:rsidRPr="00421225">
        <w:rPr>
          <w:lang w:val="fr-FR"/>
        </w:rPr>
        <w:t>...</w:t>
      </w:r>
      <w:r w:rsidRPr="00421225">
        <w:rPr>
          <w:lang w:val="fr-FR"/>
        </w:rPr>
        <w:t>) qui décidera (</w:t>
      </w:r>
      <w:r w:rsidR="00067925" w:rsidRPr="00421225">
        <w:rPr>
          <w:lang w:val="fr-FR"/>
        </w:rPr>
        <w:t>...</w:t>
      </w:r>
      <w:r w:rsidRPr="00421225">
        <w:rPr>
          <w:lang w:val="fr-FR"/>
        </w:rPr>
        <w:t>) du bien-fondé de toute accusation en matière pénale dirigée contre elle. (</w:t>
      </w:r>
      <w:r w:rsidR="00067925" w:rsidRPr="00421225">
        <w:rPr>
          <w:lang w:val="fr-FR"/>
        </w:rPr>
        <w:t>...</w:t>
      </w:r>
      <w:r w:rsidRPr="00421225">
        <w:rPr>
          <w:lang w:val="fr-FR"/>
        </w:rPr>
        <w:t>).</w:t>
      </w:r>
    </w:p>
    <w:p w:rsidR="001F4044" w:rsidRPr="00421225" w:rsidRDefault="001F4044" w:rsidP="00421225">
      <w:pPr>
        <w:pStyle w:val="ECHRParaQuote"/>
        <w:rPr>
          <w:lang w:val="fr-FR"/>
        </w:rPr>
      </w:pPr>
      <w:r w:rsidRPr="00421225">
        <w:rPr>
          <w:lang w:val="fr-FR"/>
        </w:rPr>
        <w:t>(</w:t>
      </w:r>
      <w:r w:rsidR="00067925" w:rsidRPr="00421225">
        <w:rPr>
          <w:lang w:val="fr-FR"/>
        </w:rPr>
        <w:t>...</w:t>
      </w:r>
      <w:r w:rsidRPr="00421225">
        <w:rPr>
          <w:lang w:val="fr-FR"/>
        </w:rPr>
        <w:t>).</w:t>
      </w:r>
    </w:p>
    <w:p w:rsidR="001F4044" w:rsidRPr="00421225" w:rsidRDefault="001F4044" w:rsidP="00421225">
      <w:pPr>
        <w:pStyle w:val="ECHRParaQuote"/>
        <w:rPr>
          <w:lang w:val="fr-FR"/>
        </w:rPr>
      </w:pPr>
      <w:r w:rsidRPr="00421225">
        <w:rPr>
          <w:lang w:val="fr-FR"/>
        </w:rPr>
        <w:t>3.  Tout accusé a droit notamment à :</w:t>
      </w:r>
    </w:p>
    <w:p w:rsidR="001F4044" w:rsidRPr="00421225" w:rsidRDefault="001F4044" w:rsidP="00421225">
      <w:pPr>
        <w:pStyle w:val="ECHRParaQuote"/>
        <w:rPr>
          <w:lang w:val="fr-FR"/>
        </w:rPr>
      </w:pPr>
      <w:r w:rsidRPr="00421225">
        <w:rPr>
          <w:lang w:val="fr-FR"/>
        </w:rPr>
        <w:t>(</w:t>
      </w:r>
      <w:r w:rsidR="00067925" w:rsidRPr="00421225">
        <w:rPr>
          <w:lang w:val="fr-FR"/>
        </w:rPr>
        <w:t>...</w:t>
      </w:r>
      <w:r w:rsidRPr="00421225">
        <w:rPr>
          <w:lang w:val="fr-FR"/>
        </w:rPr>
        <w:t>) ;</w:t>
      </w:r>
    </w:p>
    <w:p w:rsidR="001F4044" w:rsidRPr="00421225" w:rsidRDefault="001F4044" w:rsidP="00421225">
      <w:pPr>
        <w:pStyle w:val="ECHRParaQuote"/>
        <w:rPr>
          <w:lang w:val="fr-FR"/>
        </w:rPr>
      </w:pPr>
      <w:r w:rsidRPr="00421225">
        <w:rPr>
          <w:lang w:val="fr-FR"/>
        </w:rPr>
        <w:t>d)  interroger ou faire interroger les témoins à charge et obtenir la convocation et l</w:t>
      </w:r>
      <w:r w:rsidR="00421225" w:rsidRPr="00421225">
        <w:rPr>
          <w:lang w:val="fr-FR"/>
        </w:rPr>
        <w:t>’</w:t>
      </w:r>
      <w:r w:rsidRPr="00421225">
        <w:rPr>
          <w:lang w:val="fr-FR"/>
        </w:rPr>
        <w:t>interrogation des témoins à décharge dans les mêmes conditions que les témoins à charge ;</w:t>
      </w:r>
    </w:p>
    <w:p w:rsidR="001F4044" w:rsidRPr="00421225" w:rsidRDefault="001F4044" w:rsidP="00421225">
      <w:pPr>
        <w:pStyle w:val="ECHRParaQuote"/>
        <w:rPr>
          <w:lang w:val="fr-FR"/>
        </w:rPr>
      </w:pPr>
      <w:r w:rsidRPr="00421225">
        <w:rPr>
          <w:lang w:val="fr-FR"/>
        </w:rPr>
        <w:t>(</w:t>
      </w:r>
      <w:r w:rsidR="00067925" w:rsidRPr="00421225">
        <w:rPr>
          <w:lang w:val="fr-FR"/>
        </w:rPr>
        <w:t>...</w:t>
      </w:r>
      <w:r w:rsidRPr="00421225">
        <w:rPr>
          <w:lang w:val="fr-FR"/>
        </w:rPr>
        <w:t>). »</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32</w:t>
      </w:r>
      <w:r w:rsidRPr="00421225">
        <w:rPr>
          <w:lang w:val="fr-FR"/>
        </w:rPr>
        <w:fldChar w:fldCharType="end"/>
      </w:r>
      <w:r w:rsidRPr="00421225">
        <w:rPr>
          <w:lang w:val="fr-FR"/>
        </w:rPr>
        <w:t>.  Le Gouvernement conteste le grief du requérant.</w:t>
      </w:r>
    </w:p>
    <w:p w:rsidR="00E77CB3" w:rsidRPr="00421225" w:rsidRDefault="00E77CB3" w:rsidP="00421225">
      <w:pPr>
        <w:pStyle w:val="ECHRHeading2"/>
        <w:rPr>
          <w:lang w:val="fr-FR"/>
        </w:rPr>
      </w:pPr>
      <w:r w:rsidRPr="00421225">
        <w:rPr>
          <w:lang w:val="fr-FR"/>
        </w:rPr>
        <w:t>A.  Sur la recevabilité</w:t>
      </w:r>
    </w:p>
    <w:p w:rsidR="00E77CB3"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33</w:t>
      </w:r>
      <w:r w:rsidRPr="00421225">
        <w:rPr>
          <w:lang w:val="fr-FR"/>
        </w:rPr>
        <w:fldChar w:fldCharType="end"/>
      </w:r>
      <w:r w:rsidR="00E77CB3" w:rsidRPr="00421225">
        <w:rPr>
          <w:lang w:val="fr-FR"/>
        </w:rPr>
        <w:t xml:space="preserve">.  La Cour constate que </w:t>
      </w:r>
      <w:r w:rsidR="00042E3B" w:rsidRPr="00421225">
        <w:rPr>
          <w:lang w:val="fr-FR"/>
        </w:rPr>
        <w:t>ce grief</w:t>
      </w:r>
      <w:r w:rsidR="00E77CB3" w:rsidRPr="00421225">
        <w:rPr>
          <w:lang w:val="fr-FR"/>
        </w:rPr>
        <w:t xml:space="preserve"> n</w:t>
      </w:r>
      <w:r w:rsidR="00421225" w:rsidRPr="00421225">
        <w:rPr>
          <w:lang w:val="fr-FR"/>
        </w:rPr>
        <w:t>’</w:t>
      </w:r>
      <w:r w:rsidR="00E77CB3" w:rsidRPr="00421225">
        <w:rPr>
          <w:lang w:val="fr-FR"/>
        </w:rPr>
        <w:t>est pas manifestement mal fondé au sens de l</w:t>
      </w:r>
      <w:r w:rsidR="00421225" w:rsidRPr="00421225">
        <w:rPr>
          <w:lang w:val="fr-FR"/>
        </w:rPr>
        <w:t>’</w:t>
      </w:r>
      <w:r w:rsidR="00E77CB3" w:rsidRPr="00421225">
        <w:rPr>
          <w:lang w:val="fr-FR"/>
        </w:rPr>
        <w:t>article 35 § 3 a) de la Convention</w:t>
      </w:r>
      <w:r w:rsidR="00694A2E" w:rsidRPr="00421225">
        <w:rPr>
          <w:lang w:val="fr-FR"/>
        </w:rPr>
        <w:t xml:space="preserve"> et qu</w:t>
      </w:r>
      <w:r w:rsidR="00421225" w:rsidRPr="00421225">
        <w:rPr>
          <w:lang w:val="fr-FR"/>
        </w:rPr>
        <w:t>’</w:t>
      </w:r>
      <w:r w:rsidR="00694A2E" w:rsidRPr="00421225">
        <w:rPr>
          <w:lang w:val="fr-FR"/>
        </w:rPr>
        <w:t xml:space="preserve">il ne se heurte par ailleurs </w:t>
      </w:r>
      <w:r w:rsidR="00E77CB3" w:rsidRPr="00421225">
        <w:rPr>
          <w:lang w:val="fr-FR"/>
        </w:rPr>
        <w:t>à aucun autre motif d</w:t>
      </w:r>
      <w:r w:rsidR="00421225" w:rsidRPr="00421225">
        <w:rPr>
          <w:lang w:val="fr-FR"/>
        </w:rPr>
        <w:t>’</w:t>
      </w:r>
      <w:r w:rsidR="00E77CB3" w:rsidRPr="00421225">
        <w:rPr>
          <w:lang w:val="fr-FR"/>
        </w:rPr>
        <w:t>irrecevabilité</w:t>
      </w:r>
      <w:r w:rsidR="00875AB3" w:rsidRPr="00421225">
        <w:rPr>
          <w:lang w:val="fr-FR"/>
        </w:rPr>
        <w:t>. Elle</w:t>
      </w:r>
      <w:r w:rsidR="000F00EF" w:rsidRPr="00421225">
        <w:rPr>
          <w:lang w:val="fr-FR"/>
        </w:rPr>
        <w:t xml:space="preserve"> le déclare </w:t>
      </w:r>
      <w:r w:rsidR="00875AB3" w:rsidRPr="00421225">
        <w:rPr>
          <w:lang w:val="fr-FR"/>
        </w:rPr>
        <w:t xml:space="preserve">donc </w:t>
      </w:r>
      <w:r w:rsidR="000F00EF" w:rsidRPr="00421225">
        <w:rPr>
          <w:lang w:val="fr-FR"/>
        </w:rPr>
        <w:t>recevable</w:t>
      </w:r>
      <w:r w:rsidR="00E77CB3" w:rsidRPr="00421225">
        <w:rPr>
          <w:lang w:val="fr-FR"/>
        </w:rPr>
        <w:t>.</w:t>
      </w:r>
    </w:p>
    <w:p w:rsidR="00E77CB3" w:rsidRPr="00421225" w:rsidRDefault="00E77CB3" w:rsidP="00421225">
      <w:pPr>
        <w:pStyle w:val="ECHRHeading2"/>
        <w:rPr>
          <w:lang w:val="fr-FR"/>
        </w:rPr>
      </w:pPr>
      <w:r w:rsidRPr="00421225">
        <w:rPr>
          <w:lang w:val="fr-FR"/>
        </w:rPr>
        <w:t>B.  Sur le fond</w:t>
      </w:r>
    </w:p>
    <w:p w:rsidR="001F4044" w:rsidRPr="00421225" w:rsidRDefault="00523CDA" w:rsidP="00421225">
      <w:pPr>
        <w:pStyle w:val="ECHRHeading3"/>
        <w:rPr>
          <w:lang w:val="fr-FR"/>
        </w:rPr>
      </w:pPr>
      <w:r w:rsidRPr="00421225">
        <w:rPr>
          <w:lang w:val="fr-FR"/>
        </w:rPr>
        <w:t>1</w:t>
      </w:r>
      <w:r w:rsidR="001F4044" w:rsidRPr="00421225">
        <w:rPr>
          <w:lang w:val="fr-FR"/>
        </w:rPr>
        <w:t>.  Arguments des parties</w:t>
      </w:r>
    </w:p>
    <w:p w:rsidR="001F4044" w:rsidRPr="00421225" w:rsidRDefault="00523CDA" w:rsidP="00421225">
      <w:pPr>
        <w:pStyle w:val="ECHRHeading4"/>
        <w:rPr>
          <w:lang w:val="fr-FR"/>
        </w:rPr>
      </w:pPr>
      <w:r w:rsidRPr="00421225">
        <w:rPr>
          <w:lang w:val="fr-FR"/>
        </w:rPr>
        <w:t>a)</w:t>
      </w:r>
      <w:r w:rsidR="001F4044" w:rsidRPr="00421225">
        <w:rPr>
          <w:lang w:val="fr-FR"/>
        </w:rPr>
        <w:t>  Le requérant</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34</w:t>
      </w:r>
      <w:r w:rsidRPr="00421225">
        <w:rPr>
          <w:lang w:val="fr-FR"/>
        </w:rPr>
        <w:fldChar w:fldCharType="end"/>
      </w:r>
      <w:r w:rsidRPr="00421225">
        <w:rPr>
          <w:lang w:val="fr-FR"/>
        </w:rPr>
        <w:t>.  Le requérant allègue avoir été condamné sur la base de la déposition faite aux carabiniers par B, un témoin qui n</w:t>
      </w:r>
      <w:r w:rsidR="00421225" w:rsidRPr="00421225">
        <w:rPr>
          <w:lang w:val="fr-FR"/>
        </w:rPr>
        <w:t>’</w:t>
      </w:r>
      <w:r w:rsidRPr="00421225">
        <w:rPr>
          <w:lang w:val="fr-FR"/>
        </w:rPr>
        <w:t>a pas été interrogé aux débats. Bien qu</w:t>
      </w:r>
      <w:r w:rsidR="00421225" w:rsidRPr="00421225">
        <w:rPr>
          <w:lang w:val="fr-FR"/>
        </w:rPr>
        <w:t>’</w:t>
      </w:r>
      <w:r w:rsidRPr="00421225">
        <w:rPr>
          <w:lang w:val="fr-FR"/>
        </w:rPr>
        <w:t>il était probable que B fût retourné au Maroc, aucune recherche par la voie consulaire n</w:t>
      </w:r>
      <w:r w:rsidR="00421225" w:rsidRPr="00421225">
        <w:rPr>
          <w:lang w:val="fr-FR"/>
        </w:rPr>
        <w:t>’</w:t>
      </w:r>
      <w:r w:rsidRPr="00421225">
        <w:rPr>
          <w:lang w:val="fr-FR"/>
        </w:rPr>
        <w:t>a été effectuée dans ce pays. De plus, ce témoin n</w:t>
      </w:r>
      <w:r w:rsidR="00421225" w:rsidRPr="00421225">
        <w:rPr>
          <w:lang w:val="fr-FR"/>
        </w:rPr>
        <w:t>’</w:t>
      </w:r>
      <w:r w:rsidRPr="00421225">
        <w:rPr>
          <w:lang w:val="fr-FR"/>
        </w:rPr>
        <w:t>a pas été cherché auprès de l</w:t>
      </w:r>
      <w:r w:rsidR="00421225" w:rsidRPr="00421225">
        <w:rPr>
          <w:lang w:val="fr-FR"/>
        </w:rPr>
        <w:t>’</w:t>
      </w:r>
      <w:r w:rsidRPr="00421225">
        <w:rPr>
          <w:lang w:val="fr-FR"/>
        </w:rPr>
        <w:t>administration pénitentiaire. Selon le requérant, l</w:t>
      </w:r>
      <w:r w:rsidR="00421225" w:rsidRPr="00421225">
        <w:rPr>
          <w:lang w:val="fr-FR"/>
        </w:rPr>
        <w:t>’</w:t>
      </w:r>
      <w:r w:rsidRPr="00421225">
        <w:rPr>
          <w:lang w:val="fr-FR"/>
        </w:rPr>
        <w:t>absence aux débats de B était largement prévisible, étant donné qu</w:t>
      </w:r>
      <w:r w:rsidR="00421225" w:rsidRPr="00421225">
        <w:rPr>
          <w:lang w:val="fr-FR"/>
        </w:rPr>
        <w:t>’</w:t>
      </w:r>
      <w:r w:rsidRPr="00421225">
        <w:rPr>
          <w:lang w:val="fr-FR"/>
        </w:rPr>
        <w:t>il s</w:t>
      </w:r>
      <w:r w:rsidR="00421225" w:rsidRPr="00421225">
        <w:rPr>
          <w:lang w:val="fr-FR"/>
        </w:rPr>
        <w:t>’</w:t>
      </w:r>
      <w:r w:rsidRPr="00421225">
        <w:rPr>
          <w:lang w:val="fr-FR"/>
        </w:rPr>
        <w:t>agissait d</w:t>
      </w:r>
      <w:r w:rsidR="00421225" w:rsidRPr="00421225">
        <w:rPr>
          <w:lang w:val="fr-FR"/>
        </w:rPr>
        <w:t>’</w:t>
      </w:r>
      <w:r w:rsidRPr="00421225">
        <w:rPr>
          <w:lang w:val="fr-FR"/>
        </w:rPr>
        <w:t>un étranger sans permis de séjour et sans domicile fixe. Dès lors, il s</w:t>
      </w:r>
      <w:r w:rsidR="00421225" w:rsidRPr="00421225">
        <w:rPr>
          <w:lang w:val="fr-FR"/>
        </w:rPr>
        <w:t>’</w:t>
      </w:r>
      <w:r w:rsidRPr="00421225">
        <w:rPr>
          <w:lang w:val="fr-FR"/>
        </w:rPr>
        <w:t>imposait de l</w:t>
      </w:r>
      <w:r w:rsidR="00421225" w:rsidRPr="00421225">
        <w:rPr>
          <w:lang w:val="fr-FR"/>
        </w:rPr>
        <w:t>’</w:t>
      </w:r>
      <w:r w:rsidRPr="00421225">
        <w:rPr>
          <w:lang w:val="fr-FR"/>
        </w:rPr>
        <w:t>interroger lors d</w:t>
      </w:r>
      <w:r w:rsidR="00421225" w:rsidRPr="00421225">
        <w:rPr>
          <w:lang w:val="fr-FR"/>
        </w:rPr>
        <w:t>’</w:t>
      </w:r>
      <w:r w:rsidRPr="00421225">
        <w:rPr>
          <w:lang w:val="fr-FR"/>
        </w:rPr>
        <w:t xml:space="preserve">une audience </w:t>
      </w:r>
      <w:r w:rsidRPr="00421225">
        <w:rPr>
          <w:i/>
          <w:lang w:val="fr-FR"/>
        </w:rPr>
        <w:t xml:space="preserve">ad hoc </w:t>
      </w:r>
      <w:r w:rsidRPr="00421225">
        <w:rPr>
          <w:lang w:val="fr-FR"/>
        </w:rPr>
        <w:t>en présence du défenseur de l</w:t>
      </w:r>
      <w:r w:rsidR="00421225" w:rsidRPr="00421225">
        <w:rPr>
          <w:lang w:val="fr-FR"/>
        </w:rPr>
        <w:t>’</w:t>
      </w:r>
      <w:r w:rsidRPr="00421225">
        <w:rPr>
          <w:lang w:val="fr-FR"/>
        </w:rPr>
        <w:t>accusé.</w:t>
      </w:r>
    </w:p>
    <w:p w:rsidR="001F4044" w:rsidRPr="00421225" w:rsidRDefault="00523CDA" w:rsidP="00421225">
      <w:pPr>
        <w:pStyle w:val="ECHRHeading4"/>
        <w:rPr>
          <w:lang w:val="fr-FR"/>
        </w:rPr>
      </w:pPr>
      <w:r w:rsidRPr="00421225">
        <w:rPr>
          <w:lang w:val="fr-FR"/>
        </w:rPr>
        <w:lastRenderedPageBreak/>
        <w:t>b)</w:t>
      </w:r>
      <w:r w:rsidR="001F4044" w:rsidRPr="00421225">
        <w:rPr>
          <w:lang w:val="fr-FR"/>
        </w:rPr>
        <w:t>  Le Gouvernement</w:t>
      </w:r>
    </w:p>
    <w:p w:rsidR="00EF6249" w:rsidRPr="00421225" w:rsidRDefault="00042E3B"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35</w:t>
      </w:r>
      <w:r w:rsidRPr="00421225">
        <w:rPr>
          <w:lang w:val="fr-FR"/>
        </w:rPr>
        <w:fldChar w:fldCharType="end"/>
      </w:r>
      <w:r w:rsidRPr="00421225">
        <w:rPr>
          <w:lang w:val="fr-FR"/>
        </w:rPr>
        <w:t>.  </w:t>
      </w:r>
      <w:r w:rsidR="001F4044" w:rsidRPr="00421225">
        <w:rPr>
          <w:lang w:val="fr-FR"/>
        </w:rPr>
        <w:t>Le Gouvernement considère que l</w:t>
      </w:r>
      <w:r w:rsidR="00421225" w:rsidRPr="00421225">
        <w:rPr>
          <w:lang w:val="fr-FR"/>
        </w:rPr>
        <w:t>’</w:t>
      </w:r>
      <w:r w:rsidR="001F4044" w:rsidRPr="00421225">
        <w:rPr>
          <w:lang w:val="fr-FR"/>
        </w:rPr>
        <w:t>acquisition et la lecture des déclarations faites par B aux carabiniers étaient légitimes en droit interne</w:t>
      </w:r>
      <w:r w:rsidR="00EF6249" w:rsidRPr="00421225">
        <w:rPr>
          <w:lang w:val="fr-FR"/>
        </w:rPr>
        <w:t>. Il expose que</w:t>
      </w:r>
      <w:r w:rsidR="001F4044" w:rsidRPr="00421225">
        <w:rPr>
          <w:lang w:val="fr-FR"/>
        </w:rPr>
        <w:t xml:space="preserve"> l</w:t>
      </w:r>
      <w:r w:rsidR="00421225" w:rsidRPr="00421225">
        <w:rPr>
          <w:lang w:val="fr-FR"/>
        </w:rPr>
        <w:t>’</w:t>
      </w:r>
      <w:r w:rsidR="001F4044" w:rsidRPr="00421225">
        <w:rPr>
          <w:lang w:val="fr-FR"/>
        </w:rPr>
        <w:t>article 111 de la Constitution</w:t>
      </w:r>
      <w:r w:rsidR="00EF6249" w:rsidRPr="00421225">
        <w:rPr>
          <w:lang w:val="fr-FR"/>
        </w:rPr>
        <w:t xml:space="preserve"> (paragraphe </w:t>
      </w:r>
      <w:r w:rsidR="00A30B59" w:rsidRPr="00421225">
        <w:rPr>
          <w:noProof/>
          <w:lang w:val="fr-FR"/>
        </w:rPr>
        <w:t>30</w:t>
      </w:r>
      <w:r w:rsidR="00EF6249" w:rsidRPr="00421225">
        <w:rPr>
          <w:lang w:val="fr-FR"/>
        </w:rPr>
        <w:t xml:space="preserve"> ci-dessus)</w:t>
      </w:r>
      <w:r w:rsidR="001F4044" w:rsidRPr="00421225">
        <w:rPr>
          <w:lang w:val="fr-FR"/>
        </w:rPr>
        <w:t xml:space="preserve"> prévoit une dérogation à la règle de l</w:t>
      </w:r>
      <w:r w:rsidR="00421225" w:rsidRPr="00421225">
        <w:rPr>
          <w:lang w:val="fr-FR"/>
        </w:rPr>
        <w:t>’</w:t>
      </w:r>
      <w:r w:rsidR="001F4044" w:rsidRPr="00421225">
        <w:rPr>
          <w:lang w:val="fr-FR"/>
        </w:rPr>
        <w:t>interrogatoire contradictoire des témoins, notamment lorsqu</w:t>
      </w:r>
      <w:r w:rsidR="00421225" w:rsidRPr="00421225">
        <w:rPr>
          <w:lang w:val="fr-FR"/>
        </w:rPr>
        <w:t>’</w:t>
      </w:r>
      <w:r w:rsidR="001F4044" w:rsidRPr="00421225">
        <w:rPr>
          <w:lang w:val="fr-FR"/>
        </w:rPr>
        <w:t>on est en présence d</w:t>
      </w:r>
      <w:r w:rsidR="00421225" w:rsidRPr="00421225">
        <w:rPr>
          <w:lang w:val="fr-FR"/>
        </w:rPr>
        <w:t>’</w:t>
      </w:r>
      <w:r w:rsidR="001F4044" w:rsidRPr="00421225">
        <w:rPr>
          <w:lang w:val="fr-FR"/>
        </w:rPr>
        <w:t>une « impossibilité objective dûment prouvée ». Cette exception a été codifiée à l</w:t>
      </w:r>
      <w:r w:rsidR="00421225" w:rsidRPr="00421225">
        <w:rPr>
          <w:lang w:val="fr-FR"/>
        </w:rPr>
        <w:t>’</w:t>
      </w:r>
      <w:r w:rsidR="001F4044" w:rsidRPr="00421225">
        <w:rPr>
          <w:lang w:val="fr-FR"/>
        </w:rPr>
        <w:t>article 512 du CPP, qui permet la lecture, et donc l</w:t>
      </w:r>
      <w:r w:rsidR="00421225" w:rsidRPr="00421225">
        <w:rPr>
          <w:lang w:val="fr-FR"/>
        </w:rPr>
        <w:t>’</w:t>
      </w:r>
      <w:r w:rsidR="001F4044" w:rsidRPr="00421225">
        <w:rPr>
          <w:lang w:val="fr-FR"/>
        </w:rPr>
        <w:t xml:space="preserve">utilisation pour décider du bien-fondé des accusations, des actes dont la réitération est devenue impossible « pour des faits ou circonstances imprévisibles » (paragraphe </w:t>
      </w:r>
      <w:r w:rsidR="00A30B59" w:rsidRPr="00421225">
        <w:rPr>
          <w:noProof/>
          <w:lang w:val="fr-FR"/>
        </w:rPr>
        <w:t>28</w:t>
      </w:r>
      <w:r w:rsidR="00523CDA" w:rsidRPr="00421225">
        <w:rPr>
          <w:lang w:val="fr-FR"/>
        </w:rPr>
        <w:t xml:space="preserve"> </w:t>
      </w:r>
      <w:r w:rsidR="00657CE1" w:rsidRPr="00421225">
        <w:rPr>
          <w:lang w:val="fr-FR"/>
        </w:rPr>
        <w:t>ci-dessus).</w:t>
      </w:r>
    </w:p>
    <w:p w:rsidR="001F4044" w:rsidRPr="00421225" w:rsidRDefault="00EF6249"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36</w:t>
      </w:r>
      <w:r w:rsidRPr="00421225">
        <w:rPr>
          <w:lang w:val="fr-FR"/>
        </w:rPr>
        <w:fldChar w:fldCharType="end"/>
      </w:r>
      <w:r w:rsidRPr="00421225">
        <w:rPr>
          <w:lang w:val="fr-FR"/>
        </w:rPr>
        <w:t>.  Selon le Gouvernement, c</w:t>
      </w:r>
      <w:r w:rsidR="001F4044" w:rsidRPr="00421225">
        <w:rPr>
          <w:lang w:val="fr-FR"/>
        </w:rPr>
        <w:t xml:space="preserve">es dispositions </w:t>
      </w:r>
      <w:r w:rsidRPr="00421225">
        <w:rPr>
          <w:lang w:val="fr-FR"/>
        </w:rPr>
        <w:t>o</w:t>
      </w:r>
      <w:r w:rsidR="001F4044" w:rsidRPr="00421225">
        <w:rPr>
          <w:lang w:val="fr-FR"/>
        </w:rPr>
        <w:t>nt été interprétées de manière conforme à la Convention par les juridictions italiennes. En particulier, par un arrêt n</w:t>
      </w:r>
      <w:r w:rsidR="00067925" w:rsidRPr="00421225">
        <w:rPr>
          <w:vertAlign w:val="superscript"/>
          <w:lang w:val="fr-FR"/>
        </w:rPr>
        <w:t>o</w:t>
      </w:r>
      <w:r w:rsidR="001F4044" w:rsidRPr="00421225">
        <w:rPr>
          <w:lang w:val="fr-FR"/>
        </w:rPr>
        <w:t> 27918 du 14 juillet 2011, les sections réunies de la Cour de cassation ont dit que les déclarations d</w:t>
      </w:r>
      <w:r w:rsidR="00421225" w:rsidRPr="00421225">
        <w:rPr>
          <w:lang w:val="fr-FR"/>
        </w:rPr>
        <w:t>’</w:t>
      </w:r>
      <w:r w:rsidR="001F4044" w:rsidRPr="00421225">
        <w:rPr>
          <w:lang w:val="fr-FR"/>
        </w:rPr>
        <w:t xml:space="preserve">un témoin absent doivent être évaluées avec la prudence nécessaire, procédant non seulement à un examen de la crédibilité subjective et objective du témoin, mais aussi à la confrontation de sa déposition avec les autres éléments présentés aux débats. De plus, la Cour de cassation a précisé que le juge doit accomplir toute </w:t>
      </w:r>
      <w:r w:rsidRPr="00421225">
        <w:rPr>
          <w:lang w:val="fr-FR"/>
        </w:rPr>
        <w:t>vérification</w:t>
      </w:r>
      <w:r w:rsidR="001F4044" w:rsidRPr="00421225">
        <w:rPr>
          <w:lang w:val="fr-FR"/>
        </w:rPr>
        <w:t xml:space="preserve"> possible pour déterminer la cause de l</w:t>
      </w:r>
      <w:r w:rsidR="00421225" w:rsidRPr="00421225">
        <w:rPr>
          <w:lang w:val="fr-FR"/>
        </w:rPr>
        <w:t>’</w:t>
      </w:r>
      <w:r w:rsidR="001F4044" w:rsidRPr="00421225">
        <w:rPr>
          <w:lang w:val="fr-FR"/>
        </w:rPr>
        <w:t>absence du témoin, afin d</w:t>
      </w:r>
      <w:r w:rsidR="00421225" w:rsidRPr="00421225">
        <w:rPr>
          <w:lang w:val="fr-FR"/>
        </w:rPr>
        <w:t>’</w:t>
      </w:r>
      <w:r w:rsidR="001F4044" w:rsidRPr="00421225">
        <w:rPr>
          <w:lang w:val="fr-FR"/>
        </w:rPr>
        <w:t>exclure que celle-ci soit due à son libre choix (voir, notamment, Cour de cassation,</w:t>
      </w:r>
      <w:r w:rsidRPr="00421225">
        <w:rPr>
          <w:lang w:val="fr-FR"/>
        </w:rPr>
        <w:t xml:space="preserve"> </w:t>
      </w:r>
      <w:r w:rsidR="001F4044" w:rsidRPr="00421225">
        <w:rPr>
          <w:lang w:val="fr-FR"/>
        </w:rPr>
        <w:t>arrêt</w:t>
      </w:r>
      <w:r w:rsidRPr="00421225">
        <w:rPr>
          <w:lang w:val="fr-FR"/>
        </w:rPr>
        <w:t xml:space="preserve"> des sections réunies</w:t>
      </w:r>
      <w:r w:rsidR="001F4044" w:rsidRPr="00421225">
        <w:rPr>
          <w:lang w:val="fr-FR"/>
        </w:rPr>
        <w:t xml:space="preserve"> n</w:t>
      </w:r>
      <w:r w:rsidR="00067925" w:rsidRPr="00421225">
        <w:rPr>
          <w:vertAlign w:val="superscript"/>
          <w:lang w:val="fr-FR"/>
        </w:rPr>
        <w:t>o</w:t>
      </w:r>
      <w:r w:rsidR="001F4044" w:rsidRPr="00421225">
        <w:rPr>
          <w:lang w:val="fr-FR"/>
        </w:rPr>
        <w:t xml:space="preserve"> 36474 du 28 mai 2003, et arrêt</w:t>
      </w:r>
      <w:r w:rsidRPr="00421225">
        <w:rPr>
          <w:lang w:val="fr-FR"/>
        </w:rPr>
        <w:t xml:space="preserve"> de la quatrième section</w:t>
      </w:r>
      <w:r w:rsidR="001F4044" w:rsidRPr="00421225">
        <w:rPr>
          <w:lang w:val="fr-FR"/>
        </w:rPr>
        <w:t xml:space="preserve"> n</w:t>
      </w:r>
      <w:r w:rsidR="00067925" w:rsidRPr="00421225">
        <w:rPr>
          <w:vertAlign w:val="superscript"/>
          <w:lang w:val="fr-FR"/>
        </w:rPr>
        <w:t>o</w:t>
      </w:r>
      <w:r w:rsidR="001F4044" w:rsidRPr="00421225">
        <w:rPr>
          <w:lang w:val="fr-FR"/>
        </w:rPr>
        <w:t xml:space="preserve"> 5821 du 10 décembre 2005). Enfin, le caractère « imprévisible » de l</w:t>
      </w:r>
      <w:r w:rsidR="00421225" w:rsidRPr="00421225">
        <w:rPr>
          <w:lang w:val="fr-FR"/>
        </w:rPr>
        <w:t>’</w:t>
      </w:r>
      <w:r w:rsidR="001F4044" w:rsidRPr="00421225">
        <w:rPr>
          <w:lang w:val="fr-FR"/>
        </w:rPr>
        <w:t xml:space="preserve">absence du témoin doit être évalué </w:t>
      </w:r>
      <w:r w:rsidR="001F4044" w:rsidRPr="00421225">
        <w:rPr>
          <w:i/>
          <w:lang w:val="fr-FR"/>
        </w:rPr>
        <w:t>ex ante</w:t>
      </w:r>
      <w:r w:rsidR="001F4044" w:rsidRPr="00421225">
        <w:rPr>
          <w:lang w:val="fr-FR"/>
        </w:rPr>
        <w:t>, ayant regard non pas à des simples hypothèses, mais aux éléments concrets dont les parties disposaient avant l</w:t>
      </w:r>
      <w:r w:rsidR="00421225" w:rsidRPr="00421225">
        <w:rPr>
          <w:lang w:val="fr-FR"/>
        </w:rPr>
        <w:t>’</w:t>
      </w:r>
      <w:r w:rsidR="001F4044" w:rsidRPr="00421225">
        <w:rPr>
          <w:lang w:val="fr-FR"/>
        </w:rPr>
        <w:t>expiration du délai pour demander l</w:t>
      </w:r>
      <w:r w:rsidR="00421225" w:rsidRPr="00421225">
        <w:rPr>
          <w:lang w:val="fr-FR"/>
        </w:rPr>
        <w:t>’</w:t>
      </w:r>
      <w:r w:rsidR="001F4044" w:rsidRPr="00421225">
        <w:rPr>
          <w:lang w:val="fr-FR"/>
        </w:rPr>
        <w:t>acquisition du témoignage au cours d</w:t>
      </w:r>
      <w:r w:rsidR="00421225" w:rsidRPr="00421225">
        <w:rPr>
          <w:lang w:val="fr-FR"/>
        </w:rPr>
        <w:t>’</w:t>
      </w:r>
      <w:r w:rsidR="001F4044" w:rsidRPr="00421225">
        <w:rPr>
          <w:lang w:val="fr-FR"/>
        </w:rPr>
        <w:t xml:space="preserve">une audience </w:t>
      </w:r>
      <w:r w:rsidR="001F4044" w:rsidRPr="00421225">
        <w:rPr>
          <w:i/>
          <w:lang w:val="fr-FR"/>
        </w:rPr>
        <w:t xml:space="preserve">ad hoc </w:t>
      </w:r>
      <w:r w:rsidR="001F4044" w:rsidRPr="00421225">
        <w:rPr>
          <w:lang w:val="fr-FR"/>
        </w:rPr>
        <w:t>(voir Cour de cassation, arrêt</w:t>
      </w:r>
      <w:r w:rsidRPr="00421225">
        <w:rPr>
          <w:lang w:val="fr-FR"/>
        </w:rPr>
        <w:t xml:space="preserve"> de la deuxième section</w:t>
      </w:r>
      <w:r w:rsidR="001F4044" w:rsidRPr="00421225">
        <w:rPr>
          <w:lang w:val="fr-FR"/>
        </w:rPr>
        <w:t xml:space="preserve"> n</w:t>
      </w:r>
      <w:r w:rsidR="00067925" w:rsidRPr="00421225">
        <w:rPr>
          <w:vertAlign w:val="superscript"/>
          <w:lang w:val="fr-FR"/>
        </w:rPr>
        <w:t>o</w:t>
      </w:r>
      <w:r w:rsidR="001F4044" w:rsidRPr="00421225">
        <w:rPr>
          <w:lang w:val="fr-FR"/>
        </w:rPr>
        <w:t xml:space="preserve"> 49007 du 16 septembre 2014, rv</w:t>
      </w:r>
      <w:r w:rsidRPr="00421225">
        <w:rPr>
          <w:lang w:val="fr-FR"/>
        </w:rPr>
        <w:t> </w:t>
      </w:r>
      <w:r w:rsidR="001F4044" w:rsidRPr="00421225">
        <w:rPr>
          <w:lang w:val="fr-FR"/>
        </w:rPr>
        <w:t>261427).</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37</w:t>
      </w:r>
      <w:r w:rsidRPr="00421225">
        <w:rPr>
          <w:lang w:val="fr-FR"/>
        </w:rPr>
        <w:fldChar w:fldCharType="end"/>
      </w:r>
      <w:r w:rsidRPr="00421225">
        <w:rPr>
          <w:lang w:val="fr-FR"/>
        </w:rPr>
        <w:t>.  De l</w:t>
      </w:r>
      <w:r w:rsidR="00421225" w:rsidRPr="00421225">
        <w:rPr>
          <w:lang w:val="fr-FR"/>
        </w:rPr>
        <w:t>’</w:t>
      </w:r>
      <w:r w:rsidRPr="00421225">
        <w:rPr>
          <w:lang w:val="fr-FR"/>
        </w:rPr>
        <w:t>avis du Gouvernement, en l</w:t>
      </w:r>
      <w:r w:rsidR="00421225" w:rsidRPr="00421225">
        <w:rPr>
          <w:lang w:val="fr-FR"/>
        </w:rPr>
        <w:t>’</w:t>
      </w:r>
      <w:r w:rsidRPr="00421225">
        <w:rPr>
          <w:lang w:val="fr-FR"/>
        </w:rPr>
        <w:t>espèce la cour d</w:t>
      </w:r>
      <w:r w:rsidR="00421225" w:rsidRPr="00421225">
        <w:rPr>
          <w:lang w:val="fr-FR"/>
        </w:rPr>
        <w:t>’</w:t>
      </w:r>
      <w:r w:rsidRPr="00421225">
        <w:rPr>
          <w:lang w:val="fr-FR"/>
        </w:rPr>
        <w:t>appel de Bari a dûment motivé tant l</w:t>
      </w:r>
      <w:r w:rsidR="00421225" w:rsidRPr="00421225">
        <w:rPr>
          <w:lang w:val="fr-FR"/>
        </w:rPr>
        <w:t>’</w:t>
      </w:r>
      <w:r w:rsidRPr="00421225">
        <w:rPr>
          <w:lang w:val="fr-FR"/>
        </w:rPr>
        <w:t>impossibilité concrète de citer</w:t>
      </w:r>
      <w:r w:rsidR="00EF6249" w:rsidRPr="00421225">
        <w:rPr>
          <w:lang w:val="fr-FR"/>
        </w:rPr>
        <w:t xml:space="preserve"> B</w:t>
      </w:r>
      <w:r w:rsidRPr="00421225">
        <w:rPr>
          <w:lang w:val="fr-FR"/>
        </w:rPr>
        <w:t xml:space="preserve"> à comparaître (due au fait qu</w:t>
      </w:r>
      <w:r w:rsidR="00421225" w:rsidRPr="00421225">
        <w:rPr>
          <w:lang w:val="fr-FR"/>
        </w:rPr>
        <w:t>’</w:t>
      </w:r>
      <w:r w:rsidRPr="00421225">
        <w:rPr>
          <w:lang w:val="fr-FR"/>
        </w:rPr>
        <w:t xml:space="preserve">il était introuvable et que plusieurs tentatives de lui notifier les actes du procès </w:t>
      </w:r>
      <w:r w:rsidR="0046638A" w:rsidRPr="00421225">
        <w:rPr>
          <w:lang w:val="fr-FR"/>
        </w:rPr>
        <w:t xml:space="preserve">au domicile élu </w:t>
      </w:r>
      <w:r w:rsidRPr="00421225">
        <w:rPr>
          <w:lang w:val="fr-FR"/>
        </w:rPr>
        <w:t>avaient échouées) que l</w:t>
      </w:r>
      <w:r w:rsidR="00421225" w:rsidRPr="00421225">
        <w:rPr>
          <w:lang w:val="fr-FR"/>
        </w:rPr>
        <w:t>’</w:t>
      </w:r>
      <w:r w:rsidRPr="00421225">
        <w:rPr>
          <w:lang w:val="fr-FR"/>
        </w:rPr>
        <w:t>inutilité d</w:t>
      </w:r>
      <w:r w:rsidR="00421225" w:rsidRPr="00421225">
        <w:rPr>
          <w:lang w:val="fr-FR"/>
        </w:rPr>
        <w:t>’</w:t>
      </w:r>
      <w:r w:rsidRPr="00421225">
        <w:rPr>
          <w:lang w:val="fr-FR"/>
        </w:rPr>
        <w:t xml:space="preserve">effectuer des recherches ultérieures pour le repérer. En effet, les autorités italiennes ne disposaient pas de </w:t>
      </w:r>
      <w:r w:rsidR="0046638A" w:rsidRPr="00421225">
        <w:rPr>
          <w:lang w:val="fr-FR"/>
        </w:rPr>
        <w:t>l</w:t>
      </w:r>
      <w:r w:rsidR="00421225" w:rsidRPr="00421225">
        <w:rPr>
          <w:lang w:val="fr-FR"/>
        </w:rPr>
        <w:t>’</w:t>
      </w:r>
      <w:r w:rsidRPr="00421225">
        <w:rPr>
          <w:lang w:val="fr-FR"/>
        </w:rPr>
        <w:t>adresse de B au Maroc, ce qui rendait en pratique ineffective toute recherche dans son lieu de naissance, et rien ne permettait de penser que B eût été placé en détention. Les juridictions internes auraient également établi que l</w:t>
      </w:r>
      <w:r w:rsidR="00421225" w:rsidRPr="00421225">
        <w:rPr>
          <w:lang w:val="fr-FR"/>
        </w:rPr>
        <w:t>’</w:t>
      </w:r>
      <w:r w:rsidRPr="00421225">
        <w:rPr>
          <w:lang w:val="fr-FR"/>
        </w:rPr>
        <w:t xml:space="preserve">absence de B, une personne ayant montré sa volonté de collaborer avec la justice et exerçant un travail régulier en Italie, était imprévisible avant le renvoi en jugement du requérant, et que rien ne permettait de penser que son absence eût été délibérée. </w:t>
      </w:r>
      <w:r w:rsidRPr="00421225">
        <w:rPr>
          <w:rFonts w:cstheme="minorHAnsi"/>
          <w:lang w:val="fr-FR"/>
        </w:rPr>
        <w:t>À</w:t>
      </w:r>
      <w:r w:rsidRPr="00421225">
        <w:rPr>
          <w:lang w:val="fr-FR"/>
        </w:rPr>
        <w:t xml:space="preserve"> la lumière de la jurisprudence de la Cour de cassation, la simple circonstance que B n</w:t>
      </w:r>
      <w:r w:rsidR="00421225" w:rsidRPr="00421225">
        <w:rPr>
          <w:lang w:val="fr-FR"/>
        </w:rPr>
        <w:t>’</w:t>
      </w:r>
      <w:r w:rsidRPr="00421225">
        <w:rPr>
          <w:lang w:val="fr-FR"/>
        </w:rPr>
        <w:t>était pas un ressortissant de l</w:t>
      </w:r>
      <w:r w:rsidR="00421225" w:rsidRPr="00421225">
        <w:rPr>
          <w:lang w:val="fr-FR"/>
        </w:rPr>
        <w:t>’</w:t>
      </w:r>
      <w:r w:rsidRPr="00421225">
        <w:rPr>
          <w:lang w:val="fr-FR"/>
        </w:rPr>
        <w:t>Union européenne ne permettait pas de parvenir</w:t>
      </w:r>
      <w:r w:rsidR="00657CE1" w:rsidRPr="00421225">
        <w:rPr>
          <w:lang w:val="fr-FR"/>
        </w:rPr>
        <w:t xml:space="preserve"> à des conclusions différentes.</w:t>
      </w:r>
    </w:p>
    <w:p w:rsidR="001F4044" w:rsidRPr="00421225" w:rsidRDefault="001F4044" w:rsidP="00421225">
      <w:pPr>
        <w:pStyle w:val="ECHRPara"/>
        <w:rPr>
          <w:lang w:val="fr-FR"/>
        </w:rPr>
      </w:pPr>
      <w:r w:rsidRPr="00421225">
        <w:rPr>
          <w:lang w:val="fr-FR"/>
        </w:rPr>
        <w:lastRenderedPageBreak/>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38</w:t>
      </w:r>
      <w:r w:rsidRPr="00421225">
        <w:rPr>
          <w:lang w:val="fr-FR"/>
        </w:rPr>
        <w:fldChar w:fldCharType="end"/>
      </w:r>
      <w:r w:rsidRPr="00421225">
        <w:rPr>
          <w:lang w:val="fr-FR"/>
        </w:rPr>
        <w:t>.  </w:t>
      </w:r>
      <w:r w:rsidR="007C4EAC" w:rsidRPr="00421225">
        <w:rPr>
          <w:lang w:val="fr-FR"/>
        </w:rPr>
        <w:t>L</w:t>
      </w:r>
      <w:r w:rsidRPr="00421225">
        <w:rPr>
          <w:lang w:val="fr-FR"/>
        </w:rPr>
        <w:t>e Gouvernement estime que l</w:t>
      </w:r>
      <w:r w:rsidR="00421225" w:rsidRPr="00421225">
        <w:rPr>
          <w:lang w:val="fr-FR"/>
        </w:rPr>
        <w:t>’</w:t>
      </w:r>
      <w:r w:rsidRPr="00421225">
        <w:rPr>
          <w:lang w:val="fr-FR"/>
        </w:rPr>
        <w:t>absence de B était justifiée par un « motif sérieux », à savoir sa décision imprévisible de quitter son travail et son domicile. Les autorités auraient déployé tout effort raisonnable pour assurer sa présence (cet élément permettrait de distinguer la présente affaire de l</w:t>
      </w:r>
      <w:r w:rsidR="00421225" w:rsidRPr="00421225">
        <w:rPr>
          <w:lang w:val="fr-FR"/>
        </w:rPr>
        <w:t>’</w:t>
      </w:r>
      <w:r w:rsidRPr="00421225">
        <w:rPr>
          <w:lang w:val="fr-FR"/>
        </w:rPr>
        <w:t xml:space="preserve">affaire </w:t>
      </w:r>
      <w:r w:rsidR="000C22F7" w:rsidRPr="00421225">
        <w:rPr>
          <w:i/>
          <w:lang w:val="fr-FR"/>
        </w:rPr>
        <w:t>Rudnichenko c. Ukraine</w:t>
      </w:r>
      <w:r w:rsidR="000C22F7" w:rsidRPr="00421225">
        <w:rPr>
          <w:lang w:val="fr-FR"/>
        </w:rPr>
        <w:t>, n</w:t>
      </w:r>
      <w:r w:rsidR="00421225" w:rsidRPr="00421225">
        <w:rPr>
          <w:vertAlign w:val="superscript"/>
          <w:lang w:val="fr-FR"/>
        </w:rPr>
        <w:t>o</w:t>
      </w:r>
      <w:r w:rsidR="007C4EAC" w:rsidRPr="00421225">
        <w:rPr>
          <w:lang w:val="fr-FR"/>
        </w:rPr>
        <w:t> 2775/07, 11 juillet 2013</w:t>
      </w:r>
      <w:r w:rsidRPr="00421225">
        <w:rPr>
          <w:lang w:val="fr-FR"/>
        </w:rPr>
        <w:t>) ; leur demander des efforts supplémentaires serait excessif dans les circonstances particulières de l</w:t>
      </w:r>
      <w:r w:rsidR="00421225" w:rsidRPr="00421225">
        <w:rPr>
          <w:lang w:val="fr-FR"/>
        </w:rPr>
        <w:t>’</w:t>
      </w:r>
      <w:r w:rsidRPr="00421225">
        <w:rPr>
          <w:lang w:val="fr-FR"/>
        </w:rPr>
        <w:t>espèce et irait à l</w:t>
      </w:r>
      <w:r w:rsidR="00421225" w:rsidRPr="00421225">
        <w:rPr>
          <w:lang w:val="fr-FR"/>
        </w:rPr>
        <w:t>’</w:t>
      </w:r>
      <w:r w:rsidRPr="00421225">
        <w:rPr>
          <w:lang w:val="fr-FR"/>
        </w:rPr>
        <w:t>encontre de la nécessité d</w:t>
      </w:r>
      <w:r w:rsidR="00421225" w:rsidRPr="00421225">
        <w:rPr>
          <w:lang w:val="fr-FR"/>
        </w:rPr>
        <w:t>’</w:t>
      </w:r>
      <w:r w:rsidRPr="00421225">
        <w:rPr>
          <w:lang w:val="fr-FR"/>
        </w:rPr>
        <w:t>assurer, dans un délai raisonnable, la punition des personnes coupables d</w:t>
      </w:r>
      <w:r w:rsidR="00421225" w:rsidRPr="00421225">
        <w:rPr>
          <w:lang w:val="fr-FR"/>
        </w:rPr>
        <w:t>’</w:t>
      </w:r>
      <w:r w:rsidRPr="00421225">
        <w:rPr>
          <w:lang w:val="fr-FR"/>
        </w:rPr>
        <w:t>une infraction. Les recherches accomplies en Italie dans les lieux fréquentés par les compatriotes de B avaient seulement conduit à apprendre que l</w:t>
      </w:r>
      <w:r w:rsidR="00421225" w:rsidRPr="00421225">
        <w:rPr>
          <w:lang w:val="fr-FR"/>
        </w:rPr>
        <w:t>’</w:t>
      </w:r>
      <w:r w:rsidRPr="00421225">
        <w:rPr>
          <w:lang w:val="fr-FR"/>
        </w:rPr>
        <w:t>intéressé était retourné dans son pays. Les tribunaux internes auraient à juste titre estimé impossible, ou du moins extrêmement difficile, de trouver le requérant au Maroc sans disposer d</w:t>
      </w:r>
      <w:r w:rsidR="00421225" w:rsidRPr="00421225">
        <w:rPr>
          <w:lang w:val="fr-FR"/>
        </w:rPr>
        <w:t>’</w:t>
      </w:r>
      <w:r w:rsidRPr="00421225">
        <w:rPr>
          <w:lang w:val="fr-FR"/>
        </w:rPr>
        <w:t>éléments autres que son lieu de naissance. À cet égard, le Gouvernement rappelle qu</w:t>
      </w:r>
      <w:r w:rsidR="00421225" w:rsidRPr="00421225">
        <w:rPr>
          <w:lang w:val="fr-FR"/>
        </w:rPr>
        <w:t>’</w:t>
      </w:r>
      <w:r w:rsidRPr="00421225">
        <w:rPr>
          <w:lang w:val="fr-FR"/>
        </w:rPr>
        <w:t>aux termes de la Convention européenne d</w:t>
      </w:r>
      <w:r w:rsidR="00421225" w:rsidRPr="00421225">
        <w:rPr>
          <w:lang w:val="fr-FR"/>
        </w:rPr>
        <w:t>’</w:t>
      </w:r>
      <w:r w:rsidRPr="00421225">
        <w:rPr>
          <w:lang w:val="fr-FR"/>
        </w:rPr>
        <w:t>entraide judiciaire en matière pénale de 1959 et de l</w:t>
      </w:r>
      <w:r w:rsidR="00421225" w:rsidRPr="00421225">
        <w:rPr>
          <w:lang w:val="fr-FR"/>
        </w:rPr>
        <w:t>’</w:t>
      </w:r>
      <w:r w:rsidRPr="00421225">
        <w:rPr>
          <w:lang w:val="fr-FR"/>
        </w:rPr>
        <w:t>accord bilatéral entre l</w:t>
      </w:r>
      <w:r w:rsidR="00421225" w:rsidRPr="00421225">
        <w:rPr>
          <w:lang w:val="fr-FR"/>
        </w:rPr>
        <w:t>’</w:t>
      </w:r>
      <w:r w:rsidRPr="00421225">
        <w:rPr>
          <w:lang w:val="fr-FR"/>
        </w:rPr>
        <w:t>Italie et le Royaume du Maroc de 1971, la demande de remise d</w:t>
      </w:r>
      <w:r w:rsidR="00421225" w:rsidRPr="00421225">
        <w:rPr>
          <w:lang w:val="fr-FR"/>
        </w:rPr>
        <w:t>’</w:t>
      </w:r>
      <w:r w:rsidRPr="00421225">
        <w:rPr>
          <w:lang w:val="fr-FR"/>
        </w:rPr>
        <w:t>actes de procédure dans un pays étranger doit indiquer l</w:t>
      </w:r>
      <w:r w:rsidR="00421225" w:rsidRPr="00421225">
        <w:rPr>
          <w:lang w:val="fr-FR"/>
        </w:rPr>
        <w:t>’</w:t>
      </w:r>
      <w:r w:rsidRPr="00421225">
        <w:rPr>
          <w:lang w:val="fr-FR"/>
        </w:rPr>
        <w:t>adresse du destinataire.</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39</w:t>
      </w:r>
      <w:r w:rsidRPr="00421225">
        <w:rPr>
          <w:lang w:val="fr-FR"/>
        </w:rPr>
        <w:fldChar w:fldCharType="end"/>
      </w:r>
      <w:r w:rsidRPr="00421225">
        <w:rPr>
          <w:lang w:val="fr-FR"/>
        </w:rPr>
        <w:t>.  Le Gouvernement observe en outre que la jurisprudence de la Cour de cassation a récemment évolué, et applique désormais les dispositions – plus strictes – en matière de recherche du prévenu introuvable également aux témoins devenus introuvables (voir, notamment, Cour de cassation, arrêt n</w:t>
      </w:r>
      <w:r w:rsidR="00067925" w:rsidRPr="00421225">
        <w:rPr>
          <w:vertAlign w:val="superscript"/>
          <w:lang w:val="fr-FR"/>
        </w:rPr>
        <w:t>o</w:t>
      </w:r>
      <w:r w:rsidRPr="00421225">
        <w:rPr>
          <w:lang w:val="fr-FR"/>
        </w:rPr>
        <w:t xml:space="preserve"> 24039 du 24 mai 2011, rv. 250109, </w:t>
      </w:r>
      <w:r w:rsidRPr="00421225">
        <w:rPr>
          <w:i/>
          <w:lang w:val="fr-FR"/>
        </w:rPr>
        <w:t>Methnani</w:t>
      </w:r>
      <w:r w:rsidRPr="00421225">
        <w:rPr>
          <w:lang w:val="fr-FR"/>
        </w:rPr>
        <w:t>).</w:t>
      </w:r>
    </w:p>
    <w:p w:rsidR="001F4044" w:rsidRPr="00421225" w:rsidRDefault="001F404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40</w:t>
      </w:r>
      <w:r w:rsidRPr="00421225">
        <w:rPr>
          <w:lang w:val="fr-FR"/>
        </w:rPr>
        <w:fldChar w:fldCharType="end"/>
      </w:r>
      <w:r w:rsidRPr="00421225">
        <w:rPr>
          <w:lang w:val="fr-FR"/>
        </w:rPr>
        <w:t xml:space="preserve">.  Le Gouvernement souligne </w:t>
      </w:r>
      <w:r w:rsidR="007C4EAC" w:rsidRPr="00421225">
        <w:rPr>
          <w:lang w:val="fr-FR"/>
        </w:rPr>
        <w:t>qu</w:t>
      </w:r>
      <w:r w:rsidR="00421225" w:rsidRPr="00421225">
        <w:rPr>
          <w:lang w:val="fr-FR"/>
        </w:rPr>
        <w:t>’</w:t>
      </w:r>
      <w:r w:rsidR="007C4EAC" w:rsidRPr="00421225">
        <w:rPr>
          <w:lang w:val="fr-FR"/>
        </w:rPr>
        <w:t xml:space="preserve">afin de confirmer la preuve principale à charge, à savoir le témoignage de A, </w:t>
      </w:r>
      <w:r w:rsidRPr="00421225">
        <w:rPr>
          <w:lang w:val="fr-FR"/>
        </w:rPr>
        <w:t>le tribunal de Lucera a pris en considération d</w:t>
      </w:r>
      <w:r w:rsidR="00421225" w:rsidRPr="00421225">
        <w:rPr>
          <w:lang w:val="fr-FR"/>
        </w:rPr>
        <w:t>’</w:t>
      </w:r>
      <w:r w:rsidRPr="00421225">
        <w:rPr>
          <w:lang w:val="fr-FR"/>
        </w:rPr>
        <w:t>autres preuves, telles que les déclarations de B et d</w:t>
      </w:r>
      <w:r w:rsidR="007C4EAC" w:rsidRPr="00421225">
        <w:rPr>
          <w:lang w:val="fr-FR"/>
        </w:rPr>
        <w:t xml:space="preserve">es </w:t>
      </w:r>
      <w:r w:rsidRPr="00421225">
        <w:rPr>
          <w:lang w:val="fr-FR"/>
        </w:rPr>
        <w:t>autres témoins. Dans ces circonstances, on ne saurait estimer que l</w:t>
      </w:r>
      <w:r w:rsidR="007C4EAC" w:rsidRPr="00421225">
        <w:rPr>
          <w:lang w:val="fr-FR"/>
        </w:rPr>
        <w:t>a déposition</w:t>
      </w:r>
      <w:r w:rsidRPr="00421225">
        <w:rPr>
          <w:lang w:val="fr-FR"/>
        </w:rPr>
        <w:t xml:space="preserve"> de B ait constitué le fondement unique ou déterminant de la condamnation du requérant. </w:t>
      </w:r>
      <w:r w:rsidR="007C4EAC" w:rsidRPr="00421225">
        <w:rPr>
          <w:lang w:val="fr-FR"/>
        </w:rPr>
        <w:t>Ce dernier</w:t>
      </w:r>
      <w:r w:rsidRPr="00421225">
        <w:rPr>
          <w:lang w:val="fr-FR"/>
        </w:rPr>
        <w:t xml:space="preserve"> a par ailleurs eu la possibilité d</w:t>
      </w:r>
      <w:r w:rsidR="00421225" w:rsidRPr="00421225">
        <w:rPr>
          <w:lang w:val="fr-FR"/>
        </w:rPr>
        <w:t>’</w:t>
      </w:r>
      <w:r w:rsidRPr="00421225">
        <w:rPr>
          <w:lang w:val="fr-FR"/>
        </w:rPr>
        <w:t>interroger A et les autres témoins présents aux débats, de contester les preuves produites par le parquet (parmi lesquelles le témoignage de B) et de produire tout élément qu</w:t>
      </w:r>
      <w:r w:rsidR="00421225" w:rsidRPr="00421225">
        <w:rPr>
          <w:lang w:val="fr-FR"/>
        </w:rPr>
        <w:t>’</w:t>
      </w:r>
      <w:r w:rsidRPr="00421225">
        <w:rPr>
          <w:lang w:val="fr-FR"/>
        </w:rPr>
        <w:t>il a estimé utile pour sa défense. En outre, les juridictions du fond ont attentivement évalué l</w:t>
      </w:r>
      <w:r w:rsidR="00421225" w:rsidRPr="00421225">
        <w:rPr>
          <w:lang w:val="fr-FR"/>
        </w:rPr>
        <w:t>’</w:t>
      </w:r>
      <w:r w:rsidRPr="00421225">
        <w:rPr>
          <w:lang w:val="fr-FR"/>
        </w:rPr>
        <w:t>existence d</w:t>
      </w:r>
      <w:r w:rsidR="00421225" w:rsidRPr="00421225">
        <w:rPr>
          <w:lang w:val="fr-FR"/>
        </w:rPr>
        <w:t>’</w:t>
      </w:r>
      <w:r w:rsidRPr="00421225">
        <w:rPr>
          <w:lang w:val="fr-FR"/>
        </w:rPr>
        <w:t>éventuels rapports entre B, les autres témoins et le requérant. L</w:t>
      </w:r>
      <w:r w:rsidR="00421225" w:rsidRPr="00421225">
        <w:rPr>
          <w:lang w:val="fr-FR"/>
        </w:rPr>
        <w:t>’</w:t>
      </w:r>
      <w:r w:rsidRPr="00421225">
        <w:rPr>
          <w:lang w:val="fr-FR"/>
        </w:rPr>
        <w:t>admission de la déposition de B aurait donc été contrebalancée par des garanties procédurales suffisantes.</w:t>
      </w:r>
    </w:p>
    <w:p w:rsidR="001F4044" w:rsidRPr="00421225" w:rsidRDefault="00523CDA" w:rsidP="00421225">
      <w:pPr>
        <w:pStyle w:val="ECHRHeading3"/>
        <w:rPr>
          <w:lang w:val="fr-FR"/>
        </w:rPr>
      </w:pPr>
      <w:r w:rsidRPr="00421225">
        <w:rPr>
          <w:lang w:val="fr-FR"/>
        </w:rPr>
        <w:t>2.  Appréciation de la Cour</w:t>
      </w:r>
    </w:p>
    <w:p w:rsidR="001F4044" w:rsidRPr="00421225" w:rsidRDefault="00523CDA" w:rsidP="00421225">
      <w:pPr>
        <w:pStyle w:val="ECHRHeading4"/>
        <w:rPr>
          <w:lang w:val="fr-FR"/>
        </w:rPr>
      </w:pPr>
      <w:r w:rsidRPr="00421225">
        <w:rPr>
          <w:lang w:val="fr-FR"/>
        </w:rPr>
        <w:t>a)  Principes généraux</w:t>
      </w:r>
    </w:p>
    <w:p w:rsidR="00E8012E"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41</w:t>
      </w:r>
      <w:r w:rsidRPr="00421225">
        <w:rPr>
          <w:lang w:val="fr-FR"/>
        </w:rPr>
        <w:fldChar w:fldCharType="end"/>
      </w:r>
      <w:r w:rsidR="00E77CB3" w:rsidRPr="00421225">
        <w:rPr>
          <w:lang w:val="fr-FR"/>
        </w:rPr>
        <w:t>.  </w:t>
      </w:r>
      <w:r w:rsidR="00E8012E" w:rsidRPr="00421225">
        <w:rPr>
          <w:lang w:val="fr-FR"/>
        </w:rPr>
        <w:t>La Cour rappelle que les exigences du paragraphe 3 de l</w:t>
      </w:r>
      <w:r w:rsidR="00421225" w:rsidRPr="00421225">
        <w:rPr>
          <w:lang w:val="fr-FR"/>
        </w:rPr>
        <w:t>’</w:t>
      </w:r>
      <w:r w:rsidR="00E8012E" w:rsidRPr="00421225">
        <w:rPr>
          <w:lang w:val="fr-FR"/>
        </w:rPr>
        <w:t xml:space="preserve">article 6 représentent des aspects particuliers du droit à un procès équitable garanti par le paragraphe 1 de cette disposition. </w:t>
      </w:r>
      <w:r w:rsidR="00EE78BD" w:rsidRPr="00421225">
        <w:rPr>
          <w:lang w:val="fr-FR"/>
        </w:rPr>
        <w:t>L</w:t>
      </w:r>
      <w:r w:rsidR="00E8012E" w:rsidRPr="00421225">
        <w:rPr>
          <w:lang w:val="fr-FR"/>
        </w:rPr>
        <w:t>orsqu</w:t>
      </w:r>
      <w:r w:rsidR="00421225" w:rsidRPr="00421225">
        <w:rPr>
          <w:lang w:val="fr-FR"/>
        </w:rPr>
        <w:t>’</w:t>
      </w:r>
      <w:r w:rsidR="00E8012E" w:rsidRPr="00421225">
        <w:rPr>
          <w:lang w:val="fr-FR"/>
        </w:rPr>
        <w:t>elle examine un grief tiré de l</w:t>
      </w:r>
      <w:r w:rsidR="00421225" w:rsidRPr="00421225">
        <w:rPr>
          <w:lang w:val="fr-FR"/>
        </w:rPr>
        <w:t>’</w:t>
      </w:r>
      <w:r w:rsidR="00E8012E" w:rsidRPr="00421225">
        <w:rPr>
          <w:lang w:val="fr-FR"/>
        </w:rPr>
        <w:t>article 6, la Cour doit essentiellement déterminer si la procédure pénale a revêtu un caractère équitable (voir, parmi beaucoup d</w:t>
      </w:r>
      <w:r w:rsidR="00421225" w:rsidRPr="00421225">
        <w:rPr>
          <w:lang w:val="fr-FR"/>
        </w:rPr>
        <w:t>’</w:t>
      </w:r>
      <w:r w:rsidR="00E8012E" w:rsidRPr="00421225">
        <w:rPr>
          <w:lang w:val="fr-FR"/>
        </w:rPr>
        <w:t>autres,</w:t>
      </w:r>
      <w:bookmarkStart w:id="2" w:name="_DV_C463"/>
      <w:bookmarkStart w:id="3" w:name="File3"/>
      <w:bookmarkEnd w:id="2"/>
      <w:r w:rsidR="00E8012E" w:rsidRPr="00421225">
        <w:rPr>
          <w:lang w:val="fr-FR"/>
        </w:rPr>
        <w:t xml:space="preserve"> </w:t>
      </w:r>
      <w:r w:rsidR="00E8012E" w:rsidRPr="00421225">
        <w:rPr>
          <w:i/>
          <w:lang w:val="fr-FR"/>
        </w:rPr>
        <w:t>Taxquet</w:t>
      </w:r>
      <w:bookmarkStart w:id="4" w:name="_DV_C464"/>
      <w:bookmarkEnd w:id="3"/>
      <w:r w:rsidR="00E8012E" w:rsidRPr="00421225">
        <w:rPr>
          <w:i/>
          <w:lang w:val="fr-FR"/>
        </w:rPr>
        <w:t xml:space="preserve"> </w:t>
      </w:r>
      <w:r w:rsidR="00E8012E" w:rsidRPr="00421225">
        <w:rPr>
          <w:i/>
          <w:lang w:val="fr-FR"/>
        </w:rPr>
        <w:lastRenderedPageBreak/>
        <w:t>c.</w:t>
      </w:r>
      <w:r w:rsidR="00EE78BD" w:rsidRPr="00421225">
        <w:rPr>
          <w:i/>
          <w:lang w:val="fr-FR"/>
        </w:rPr>
        <w:t> </w:t>
      </w:r>
      <w:r w:rsidR="00E8012E" w:rsidRPr="00421225">
        <w:rPr>
          <w:i/>
          <w:lang w:val="fr-FR"/>
        </w:rPr>
        <w:t>Belgique</w:t>
      </w:r>
      <w:r w:rsidR="000C22F7" w:rsidRPr="00421225">
        <w:rPr>
          <w:lang w:val="fr-FR"/>
        </w:rPr>
        <w:t xml:space="preserve"> [GC], n</w:t>
      </w:r>
      <w:r w:rsidR="00421225" w:rsidRPr="00421225">
        <w:rPr>
          <w:vertAlign w:val="superscript"/>
          <w:lang w:val="fr-FR"/>
        </w:rPr>
        <w:t>o</w:t>
      </w:r>
      <w:r w:rsidR="00E8012E" w:rsidRPr="00421225">
        <w:rPr>
          <w:lang w:val="fr-FR"/>
        </w:rPr>
        <w:t xml:space="preserve"> 926/05, § 84, CEDH 2010). Pour ce faire, elle envisage la procédure dans son ensemble et vérifie le respect non seulement des droits de la défense mais aussi de l</w:t>
      </w:r>
      <w:r w:rsidR="00421225" w:rsidRPr="00421225">
        <w:rPr>
          <w:lang w:val="fr-FR"/>
        </w:rPr>
        <w:t>’</w:t>
      </w:r>
      <w:r w:rsidR="00E8012E" w:rsidRPr="00421225">
        <w:rPr>
          <w:lang w:val="fr-FR"/>
        </w:rPr>
        <w:t>intérêt du public et des victimes à ce que les auteurs de l</w:t>
      </w:r>
      <w:r w:rsidR="00421225" w:rsidRPr="00421225">
        <w:rPr>
          <w:lang w:val="fr-FR"/>
        </w:rPr>
        <w:t>’</w:t>
      </w:r>
      <w:r w:rsidR="00E8012E" w:rsidRPr="00421225">
        <w:rPr>
          <w:lang w:val="fr-FR"/>
        </w:rPr>
        <w:t>infraction soient dûment poursuivis (</w:t>
      </w:r>
      <w:bookmarkStart w:id="5" w:name="_DV_X525"/>
      <w:bookmarkStart w:id="6" w:name="_DV_C465"/>
      <w:bookmarkEnd w:id="4"/>
      <w:bookmarkEnd w:id="5"/>
      <w:r w:rsidR="00E8012E" w:rsidRPr="00421225">
        <w:rPr>
          <w:i/>
          <w:lang w:val="fr-FR"/>
        </w:rPr>
        <w:t>Gäfgen c.</w:t>
      </w:r>
      <w:r w:rsidR="00EE78BD" w:rsidRPr="00421225">
        <w:rPr>
          <w:i/>
          <w:lang w:val="fr-FR"/>
        </w:rPr>
        <w:t> </w:t>
      </w:r>
      <w:r w:rsidR="00E8012E" w:rsidRPr="00421225">
        <w:rPr>
          <w:i/>
          <w:lang w:val="fr-FR"/>
        </w:rPr>
        <w:t>Allemagne</w:t>
      </w:r>
      <w:r w:rsidR="000C22F7" w:rsidRPr="00421225">
        <w:rPr>
          <w:lang w:val="fr-FR"/>
        </w:rPr>
        <w:t xml:space="preserve"> [GC], n</w:t>
      </w:r>
      <w:r w:rsidR="00421225" w:rsidRPr="00421225">
        <w:rPr>
          <w:vertAlign w:val="superscript"/>
          <w:lang w:val="fr-FR"/>
        </w:rPr>
        <w:t>o</w:t>
      </w:r>
      <w:r w:rsidR="00E8012E" w:rsidRPr="00421225">
        <w:rPr>
          <w:lang w:val="fr-FR"/>
        </w:rPr>
        <w:t xml:space="preserve"> 22978/05, § </w:t>
      </w:r>
      <w:bookmarkStart w:id="7" w:name="_DV_C466"/>
      <w:bookmarkEnd w:id="6"/>
      <w:r w:rsidR="00E8012E" w:rsidRPr="00421225">
        <w:rPr>
          <w:lang w:val="fr-FR"/>
        </w:rPr>
        <w:t>175, CEDH 2010) et, si nécessaire, des droits des témoins (voir, parmi bien d</w:t>
      </w:r>
      <w:r w:rsidR="00421225" w:rsidRPr="00421225">
        <w:rPr>
          <w:lang w:val="fr-FR"/>
        </w:rPr>
        <w:t>’</w:t>
      </w:r>
      <w:r w:rsidR="00E8012E" w:rsidRPr="00421225">
        <w:rPr>
          <w:lang w:val="fr-FR"/>
        </w:rPr>
        <w:t xml:space="preserve">autres arrêts, </w:t>
      </w:r>
      <w:r w:rsidR="00E8012E" w:rsidRPr="00421225">
        <w:rPr>
          <w:i/>
          <w:lang w:val="fr-FR"/>
        </w:rPr>
        <w:t>Doorson c. Pays-Bas</w:t>
      </w:r>
      <w:r w:rsidR="00E8012E" w:rsidRPr="00421225">
        <w:rPr>
          <w:lang w:val="fr-FR"/>
        </w:rPr>
        <w:t xml:space="preserve">, 26 mars 1996, § 70, </w:t>
      </w:r>
      <w:r w:rsidR="00E8012E" w:rsidRPr="00421225">
        <w:rPr>
          <w:i/>
          <w:lang w:val="fr-FR"/>
        </w:rPr>
        <w:t xml:space="preserve">Recueil des arrêts et décisions </w:t>
      </w:r>
      <w:r w:rsidR="00E8012E" w:rsidRPr="00421225">
        <w:rPr>
          <w:lang w:val="fr-FR"/>
        </w:rPr>
        <w:t xml:space="preserve">1996-II, et </w:t>
      </w:r>
      <w:r w:rsidR="007C4EAC" w:rsidRPr="00421225">
        <w:rPr>
          <w:i/>
          <w:lang w:val="fr-FR"/>
        </w:rPr>
        <w:t>Al-Khawaja et Tahery</w:t>
      </w:r>
      <w:r w:rsidR="007C4EAC" w:rsidRPr="00421225">
        <w:rPr>
          <w:bCs/>
          <w:i/>
          <w:szCs w:val="24"/>
          <w:lang w:val="fr-FR"/>
        </w:rPr>
        <w:t xml:space="preserve"> </w:t>
      </w:r>
      <w:r w:rsidR="007C4EAC" w:rsidRPr="00421225">
        <w:rPr>
          <w:i/>
          <w:lang w:val="fr-FR"/>
        </w:rPr>
        <w:t>c. Royaume-Uni</w:t>
      </w:r>
      <w:r w:rsidR="007C4EAC" w:rsidRPr="00421225">
        <w:rPr>
          <w:lang w:val="fr-FR"/>
        </w:rPr>
        <w:t xml:space="preserve"> [GC], n</w:t>
      </w:r>
      <w:r w:rsidR="007C4EAC" w:rsidRPr="00421225">
        <w:rPr>
          <w:vertAlign w:val="superscript"/>
          <w:lang w:val="fr-FR"/>
        </w:rPr>
        <w:t>os </w:t>
      </w:r>
      <w:r w:rsidR="007C4EAC" w:rsidRPr="00421225">
        <w:rPr>
          <w:iCs/>
          <w:szCs w:val="24"/>
          <w:lang w:val="fr-FR"/>
        </w:rPr>
        <w:t>26</w:t>
      </w:r>
      <w:r w:rsidR="00520535" w:rsidRPr="00421225">
        <w:rPr>
          <w:iCs/>
          <w:szCs w:val="24"/>
          <w:lang w:val="fr-FR"/>
        </w:rPr>
        <w:t>766/05 et 22228/06, § 118, CEDH </w:t>
      </w:r>
      <w:r w:rsidR="007C4EAC" w:rsidRPr="00421225">
        <w:rPr>
          <w:iCs/>
          <w:szCs w:val="24"/>
          <w:lang w:val="fr-FR"/>
        </w:rPr>
        <w:t>2011</w:t>
      </w:r>
      <w:r w:rsidR="00E8012E" w:rsidRPr="00421225">
        <w:rPr>
          <w:lang w:val="fr-FR"/>
        </w:rPr>
        <w:t>). La Cour rappelle également dans ce contexte que la recevabilité des preuves relève des règles du droit interne et des juridictions nationales et que sa seule tâche consiste à déterminer si la procédure a été équitable (</w:t>
      </w:r>
      <w:r w:rsidR="00E8012E" w:rsidRPr="00421225">
        <w:rPr>
          <w:i/>
          <w:lang w:val="fr-FR"/>
        </w:rPr>
        <w:t>Gäfgen</w:t>
      </w:r>
      <w:r w:rsidR="00E8012E" w:rsidRPr="00421225">
        <w:rPr>
          <w:lang w:val="fr-FR"/>
        </w:rPr>
        <w:t>, précité, §</w:t>
      </w:r>
      <w:r w:rsidR="000C22F7" w:rsidRPr="00421225">
        <w:rPr>
          <w:lang w:val="fr-FR"/>
        </w:rPr>
        <w:t> </w:t>
      </w:r>
      <w:r w:rsidR="00E8012E" w:rsidRPr="00421225">
        <w:rPr>
          <w:lang w:val="fr-FR"/>
        </w:rPr>
        <w:t>162, avec les références qui y sont citées).</w:t>
      </w:r>
      <w:bookmarkEnd w:id="7"/>
    </w:p>
    <w:p w:rsidR="00523CDA" w:rsidRPr="00421225" w:rsidRDefault="00E8012E" w:rsidP="00421225">
      <w:pPr>
        <w:pStyle w:val="ECHRPara"/>
        <w:rPr>
          <w:lang w:val="fr-FR"/>
        </w:rPr>
      </w:pPr>
      <w:r w:rsidRPr="00421225">
        <w:rPr>
          <w:lang w:val="fr-FR" w:eastAsia="en-GB"/>
        </w:rPr>
        <w:fldChar w:fldCharType="begin"/>
      </w:r>
      <w:r w:rsidRPr="00421225">
        <w:rPr>
          <w:lang w:val="fr-FR" w:eastAsia="en-GB"/>
        </w:rPr>
        <w:instrText xml:space="preserve"> SEQ level0 \*arabic </w:instrText>
      </w:r>
      <w:r w:rsidRPr="00421225">
        <w:rPr>
          <w:lang w:val="fr-FR" w:eastAsia="en-GB"/>
        </w:rPr>
        <w:fldChar w:fldCharType="separate"/>
      </w:r>
      <w:r w:rsidR="00421225" w:rsidRPr="00421225">
        <w:rPr>
          <w:noProof/>
          <w:lang w:val="fr-FR" w:eastAsia="en-GB"/>
        </w:rPr>
        <w:t>42</w:t>
      </w:r>
      <w:r w:rsidRPr="00421225">
        <w:rPr>
          <w:lang w:val="fr-FR" w:eastAsia="en-GB"/>
        </w:rPr>
        <w:fldChar w:fldCharType="end"/>
      </w:r>
      <w:r w:rsidRPr="00421225">
        <w:rPr>
          <w:lang w:val="fr-FR" w:eastAsia="en-GB"/>
        </w:rPr>
        <w:t>.  L</w:t>
      </w:r>
      <w:r w:rsidR="00421225" w:rsidRPr="00421225">
        <w:rPr>
          <w:lang w:val="fr-FR" w:eastAsia="en-GB"/>
        </w:rPr>
        <w:t>’</w:t>
      </w:r>
      <w:r w:rsidRPr="00421225">
        <w:rPr>
          <w:lang w:val="fr-FR" w:eastAsia="en-GB"/>
        </w:rPr>
        <w:t>article 6 § 3 d) consacre le principe selon lequel, avant qu</w:t>
      </w:r>
      <w:r w:rsidR="00421225" w:rsidRPr="00421225">
        <w:rPr>
          <w:lang w:val="fr-FR" w:eastAsia="en-GB"/>
        </w:rPr>
        <w:t>’</w:t>
      </w:r>
      <w:r w:rsidRPr="00421225">
        <w:rPr>
          <w:lang w:val="fr-FR" w:eastAsia="en-GB"/>
        </w:rPr>
        <w:t>un accusé puisse être déclaré coupable, tous les éléments à charge doivent en principe être produits devant lui en audience publique, en vue d</w:t>
      </w:r>
      <w:r w:rsidR="00421225" w:rsidRPr="00421225">
        <w:rPr>
          <w:lang w:val="fr-FR" w:eastAsia="en-GB"/>
        </w:rPr>
        <w:t>’</w:t>
      </w:r>
      <w:r w:rsidRPr="00421225">
        <w:rPr>
          <w:lang w:val="fr-FR" w:eastAsia="en-GB"/>
        </w:rPr>
        <w:t>un débat contradictoire</w:t>
      </w:r>
      <w:r w:rsidRPr="00421225">
        <w:rPr>
          <w:lang w:val="fr-FR"/>
        </w:rPr>
        <w:t>. Ce principe ne va pas sans exceptions, mais on ne peut les accepter que sous réserve des droits de la défense ; en règle générale, ceux</w:t>
      </w:r>
      <w:r w:rsidRPr="00421225">
        <w:rPr>
          <w:lang w:val="fr-FR"/>
        </w:rPr>
        <w:noBreakHyphen/>
        <w:t>ci commandent de donner à l</w:t>
      </w:r>
      <w:r w:rsidR="00421225" w:rsidRPr="00421225">
        <w:rPr>
          <w:lang w:val="fr-FR"/>
        </w:rPr>
        <w:t>’</w:t>
      </w:r>
      <w:r w:rsidRPr="00421225">
        <w:rPr>
          <w:lang w:val="fr-FR"/>
        </w:rPr>
        <w:t xml:space="preserve">accusé une possibilité adéquate et suffisante de contester </w:t>
      </w:r>
      <w:r w:rsidRPr="00421225">
        <w:rPr>
          <w:lang w:val="fr-FR" w:eastAsia="en-GB"/>
        </w:rPr>
        <w:t>les témoignages à charge et d</w:t>
      </w:r>
      <w:r w:rsidR="00421225" w:rsidRPr="00421225">
        <w:rPr>
          <w:lang w:val="fr-FR" w:eastAsia="en-GB"/>
        </w:rPr>
        <w:t>’</w:t>
      </w:r>
      <w:r w:rsidRPr="00421225">
        <w:rPr>
          <w:lang w:val="fr-FR" w:eastAsia="en-GB"/>
        </w:rPr>
        <w:t>en interroger les auteurs, soit au moment de leur déposition, soit à un stade ultérieur (</w:t>
      </w:r>
      <w:r w:rsidRPr="00421225">
        <w:rPr>
          <w:i/>
          <w:lang w:val="fr-FR" w:eastAsia="en-GB"/>
        </w:rPr>
        <w:t xml:space="preserve">Lucà </w:t>
      </w:r>
      <w:r w:rsidRPr="00421225">
        <w:rPr>
          <w:i/>
          <w:lang w:val="fr-FR"/>
        </w:rPr>
        <w:t>c. Italie</w:t>
      </w:r>
      <w:r w:rsidRPr="00421225">
        <w:rPr>
          <w:lang w:val="fr-FR"/>
        </w:rPr>
        <w:t>,</w:t>
      </w:r>
      <w:r w:rsidRPr="00421225">
        <w:rPr>
          <w:i/>
          <w:lang w:val="fr-FR"/>
        </w:rPr>
        <w:t xml:space="preserve"> </w:t>
      </w:r>
      <w:r w:rsidRPr="00421225">
        <w:rPr>
          <w:lang w:val="fr-FR"/>
        </w:rPr>
        <w:t>n</w:t>
      </w:r>
      <w:r w:rsidRPr="00421225">
        <w:rPr>
          <w:vertAlign w:val="superscript"/>
          <w:lang w:val="fr-FR"/>
        </w:rPr>
        <w:t>o</w:t>
      </w:r>
      <w:r w:rsidR="000C22F7" w:rsidRPr="00421225">
        <w:rPr>
          <w:vertAlign w:val="superscript"/>
          <w:lang w:val="fr-FR"/>
        </w:rPr>
        <w:t> </w:t>
      </w:r>
      <w:r w:rsidRPr="00421225">
        <w:rPr>
          <w:lang w:val="fr-FR"/>
        </w:rPr>
        <w:t>33354/96, § 39, CEDH 2001-II</w:t>
      </w:r>
      <w:r w:rsidRPr="00421225">
        <w:rPr>
          <w:lang w:val="fr-FR" w:eastAsia="en-GB"/>
        </w:rPr>
        <w:t xml:space="preserve">, et </w:t>
      </w:r>
      <w:r w:rsidRPr="00421225">
        <w:rPr>
          <w:i/>
          <w:lang w:val="fr-FR"/>
        </w:rPr>
        <w:t>Solakov c. « l</w:t>
      </w:r>
      <w:r w:rsidR="00421225" w:rsidRPr="00421225">
        <w:rPr>
          <w:i/>
          <w:lang w:val="fr-FR"/>
        </w:rPr>
        <w:t>’</w:t>
      </w:r>
      <w:r w:rsidRPr="00421225">
        <w:rPr>
          <w:i/>
          <w:lang w:val="fr-FR"/>
        </w:rPr>
        <w:t>ex-République yougoslave de Macédoine »</w:t>
      </w:r>
      <w:r w:rsidRPr="00421225">
        <w:rPr>
          <w:lang w:val="fr-FR"/>
        </w:rPr>
        <w:t>, n</w:t>
      </w:r>
      <w:r w:rsidRPr="00421225">
        <w:rPr>
          <w:vertAlign w:val="superscript"/>
          <w:lang w:val="fr-FR"/>
        </w:rPr>
        <w:t>o</w:t>
      </w:r>
      <w:r w:rsidRPr="00421225">
        <w:rPr>
          <w:lang w:val="fr-FR"/>
        </w:rPr>
        <w:t> 47023/99, § 57, CEDH 2001-X).</w:t>
      </w:r>
    </w:p>
    <w:p w:rsidR="00682194"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43</w:t>
      </w:r>
      <w:r w:rsidRPr="00421225">
        <w:rPr>
          <w:lang w:val="fr-FR"/>
        </w:rPr>
        <w:fldChar w:fldCharType="end"/>
      </w:r>
      <w:r w:rsidR="00E77CB3" w:rsidRPr="00421225">
        <w:rPr>
          <w:lang w:val="fr-FR"/>
        </w:rPr>
        <w:t>.  </w:t>
      </w:r>
      <w:r w:rsidR="00682194" w:rsidRPr="00421225">
        <w:rPr>
          <w:lang w:val="fr-FR"/>
        </w:rPr>
        <w:t>Eu égard aux principes établis dans l</w:t>
      </w:r>
      <w:r w:rsidR="00421225" w:rsidRPr="00421225">
        <w:rPr>
          <w:lang w:val="fr-FR"/>
        </w:rPr>
        <w:t>’</w:t>
      </w:r>
      <w:r w:rsidR="00682194" w:rsidRPr="00421225">
        <w:rPr>
          <w:lang w:val="fr-FR"/>
        </w:rPr>
        <w:t>affaire de Grande Chambre</w:t>
      </w:r>
      <w:r w:rsidR="00682194" w:rsidRPr="00421225">
        <w:rPr>
          <w:b/>
          <w:lang w:val="fr-FR"/>
        </w:rPr>
        <w:t xml:space="preserve"> </w:t>
      </w:r>
      <w:r w:rsidR="00682194" w:rsidRPr="00421225">
        <w:rPr>
          <w:i/>
          <w:lang w:val="fr-FR"/>
        </w:rPr>
        <w:t>Al</w:t>
      </w:r>
      <w:r w:rsidR="00682194" w:rsidRPr="00421225">
        <w:rPr>
          <w:i/>
          <w:lang w:val="fr-FR"/>
        </w:rPr>
        <w:noBreakHyphen/>
        <w:t>Khawaja et Tahery</w:t>
      </w:r>
      <w:r w:rsidR="00682194" w:rsidRPr="00421225">
        <w:rPr>
          <w:lang w:val="fr-FR"/>
        </w:rPr>
        <w:t xml:space="preserve"> précitée, la Cour doit successivement examiner si l</w:t>
      </w:r>
      <w:r w:rsidR="00421225" w:rsidRPr="00421225">
        <w:rPr>
          <w:lang w:val="fr-FR"/>
        </w:rPr>
        <w:t>’</w:t>
      </w:r>
      <w:r w:rsidR="00682194" w:rsidRPr="00421225">
        <w:rPr>
          <w:lang w:val="fr-FR"/>
        </w:rPr>
        <w:t>impossibilité pour la défense d</w:t>
      </w:r>
      <w:r w:rsidR="00421225" w:rsidRPr="00421225">
        <w:rPr>
          <w:lang w:val="fr-FR"/>
        </w:rPr>
        <w:t>’</w:t>
      </w:r>
      <w:r w:rsidR="00682194" w:rsidRPr="00421225">
        <w:rPr>
          <w:lang w:val="fr-FR"/>
        </w:rPr>
        <w:t>interroger ou de faire interroger un témoin à charge était justifiée par un motif sérieux ; si les dépositions du témoin absent ont constitué la preuve unique ou déterminante de la culpabilité du requérant ; et, enfin, s</w:t>
      </w:r>
      <w:r w:rsidR="00421225" w:rsidRPr="00421225">
        <w:rPr>
          <w:lang w:val="fr-FR"/>
        </w:rPr>
        <w:t>’</w:t>
      </w:r>
      <w:r w:rsidR="00682194" w:rsidRPr="00421225">
        <w:rPr>
          <w:lang w:val="fr-FR"/>
        </w:rPr>
        <w:t>il existait des éléments suffisamment compensateurs des inconvénients liés à l</w:t>
      </w:r>
      <w:r w:rsidR="00421225" w:rsidRPr="00421225">
        <w:rPr>
          <w:lang w:val="fr-FR"/>
        </w:rPr>
        <w:t>’</w:t>
      </w:r>
      <w:r w:rsidR="00682194" w:rsidRPr="00421225">
        <w:rPr>
          <w:lang w:val="fr-FR"/>
        </w:rPr>
        <w:t>admission d</w:t>
      </w:r>
      <w:r w:rsidR="00421225" w:rsidRPr="00421225">
        <w:rPr>
          <w:lang w:val="fr-FR"/>
        </w:rPr>
        <w:t>’</w:t>
      </w:r>
      <w:r w:rsidR="00682194" w:rsidRPr="00421225">
        <w:rPr>
          <w:lang w:val="fr-FR"/>
        </w:rPr>
        <w:t>une telle preuve pour permettre une appréciation correcte et équitable de sa fiabilité (</w:t>
      </w:r>
      <w:r w:rsidR="00682194" w:rsidRPr="00421225">
        <w:rPr>
          <w:i/>
          <w:lang w:val="fr-FR"/>
        </w:rPr>
        <w:t>Vronchenko</w:t>
      </w:r>
      <w:r w:rsidR="00682194" w:rsidRPr="00421225">
        <w:rPr>
          <w:lang w:val="fr-FR"/>
        </w:rPr>
        <w:t xml:space="preserve"> </w:t>
      </w:r>
      <w:r w:rsidR="00682194" w:rsidRPr="00421225">
        <w:rPr>
          <w:i/>
          <w:lang w:val="fr-FR"/>
        </w:rPr>
        <w:t>c. Estonie</w:t>
      </w:r>
      <w:r w:rsidR="00682194" w:rsidRPr="00421225">
        <w:rPr>
          <w:lang w:val="fr-FR"/>
        </w:rPr>
        <w:t>, n</w:t>
      </w:r>
      <w:r w:rsidR="00682194" w:rsidRPr="00421225">
        <w:rPr>
          <w:vertAlign w:val="superscript"/>
          <w:lang w:val="fr-FR"/>
        </w:rPr>
        <w:t>o </w:t>
      </w:r>
      <w:r w:rsidR="00682194" w:rsidRPr="00421225">
        <w:rPr>
          <w:lang w:val="fr-FR"/>
        </w:rPr>
        <w:t>59632/09, § 57, 18 juillet 2013).</w:t>
      </w:r>
    </w:p>
    <w:p w:rsidR="006B7FFC" w:rsidRPr="00421225" w:rsidRDefault="00682194"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44</w:t>
      </w:r>
      <w:r w:rsidRPr="00421225">
        <w:rPr>
          <w:lang w:val="fr-FR"/>
        </w:rPr>
        <w:fldChar w:fldCharType="end"/>
      </w:r>
      <w:r w:rsidRPr="00421225">
        <w:rPr>
          <w:lang w:val="fr-FR"/>
        </w:rPr>
        <w:t>.  Ces principes ont été explicités dans l</w:t>
      </w:r>
      <w:r w:rsidR="00421225" w:rsidRPr="00421225">
        <w:rPr>
          <w:lang w:val="fr-FR"/>
        </w:rPr>
        <w:t>’</w:t>
      </w:r>
      <w:r w:rsidRPr="00421225">
        <w:rPr>
          <w:lang w:val="fr-FR"/>
        </w:rPr>
        <w:t xml:space="preserve">arrêt </w:t>
      </w:r>
      <w:r w:rsidRPr="00421225">
        <w:rPr>
          <w:i/>
          <w:lang w:val="fr-FR"/>
        </w:rPr>
        <w:t xml:space="preserve">Schatschaschwili c. Allemagne </w:t>
      </w:r>
      <w:r w:rsidRPr="00421225">
        <w:rPr>
          <w:lang w:val="fr-FR"/>
        </w:rPr>
        <w:t>(n</w:t>
      </w:r>
      <w:r w:rsidRPr="00421225">
        <w:rPr>
          <w:vertAlign w:val="superscript"/>
          <w:lang w:val="fr-FR"/>
        </w:rPr>
        <w:t>o</w:t>
      </w:r>
      <w:r w:rsidRPr="00421225">
        <w:rPr>
          <w:lang w:val="fr-FR"/>
        </w:rPr>
        <w:t xml:space="preserve"> 9154/10, § 111-131, CEDH 2015), où la Grande Chambre a confirmé que l</w:t>
      </w:r>
      <w:r w:rsidR="00421225" w:rsidRPr="00421225">
        <w:rPr>
          <w:lang w:val="fr-FR"/>
        </w:rPr>
        <w:t>’</w:t>
      </w:r>
      <w:r w:rsidRPr="00421225">
        <w:rPr>
          <w:lang w:val="fr-FR"/>
        </w:rPr>
        <w:t>absence de motif sérieux justifiant la non</w:t>
      </w:r>
      <w:r w:rsidRPr="00421225">
        <w:rPr>
          <w:lang w:val="fr-FR"/>
        </w:rPr>
        <w:noBreakHyphen/>
        <w:t>comparution d</w:t>
      </w:r>
      <w:r w:rsidR="00421225" w:rsidRPr="00421225">
        <w:rPr>
          <w:lang w:val="fr-FR"/>
        </w:rPr>
        <w:t>’</w:t>
      </w:r>
      <w:r w:rsidRPr="00421225">
        <w:rPr>
          <w:lang w:val="fr-FR"/>
        </w:rPr>
        <w:t>un témoin ne pouvait en elle-même rendre un procès inéquitable, bien qu</w:t>
      </w:r>
      <w:r w:rsidR="00421225" w:rsidRPr="00421225">
        <w:rPr>
          <w:lang w:val="fr-FR"/>
        </w:rPr>
        <w:t>’</w:t>
      </w:r>
      <w:r w:rsidRPr="00421225">
        <w:rPr>
          <w:lang w:val="fr-FR"/>
        </w:rPr>
        <w:t>elle demeure un élément de poids s</w:t>
      </w:r>
      <w:r w:rsidR="00421225" w:rsidRPr="00421225">
        <w:rPr>
          <w:lang w:val="fr-FR"/>
        </w:rPr>
        <w:t>’</w:t>
      </w:r>
      <w:r w:rsidRPr="00421225">
        <w:rPr>
          <w:lang w:val="fr-FR"/>
        </w:rPr>
        <w:t>agissant d</w:t>
      </w:r>
      <w:r w:rsidR="00421225" w:rsidRPr="00421225">
        <w:rPr>
          <w:lang w:val="fr-FR"/>
        </w:rPr>
        <w:t>’</w:t>
      </w:r>
      <w:r w:rsidRPr="00421225">
        <w:rPr>
          <w:lang w:val="fr-FR"/>
        </w:rPr>
        <w:t>apprécier l</w:t>
      </w:r>
      <w:r w:rsidR="00421225" w:rsidRPr="00421225">
        <w:rPr>
          <w:lang w:val="fr-FR"/>
        </w:rPr>
        <w:t>’</w:t>
      </w:r>
      <w:r w:rsidRPr="00421225">
        <w:rPr>
          <w:lang w:val="fr-FR"/>
        </w:rPr>
        <w:t>équité globale d</w:t>
      </w:r>
      <w:r w:rsidR="00421225" w:rsidRPr="00421225">
        <w:rPr>
          <w:lang w:val="fr-FR"/>
        </w:rPr>
        <w:t>’</w:t>
      </w:r>
      <w:r w:rsidRPr="00421225">
        <w:rPr>
          <w:lang w:val="fr-FR"/>
        </w:rPr>
        <w:t>un procès, qui est susceptible de faire pencher la balance en faveur d</w:t>
      </w:r>
      <w:r w:rsidR="00421225" w:rsidRPr="00421225">
        <w:rPr>
          <w:lang w:val="fr-FR"/>
        </w:rPr>
        <w:t>’</w:t>
      </w:r>
      <w:r w:rsidRPr="00421225">
        <w:rPr>
          <w:lang w:val="fr-FR"/>
        </w:rPr>
        <w:t>un constat de violation de l</w:t>
      </w:r>
      <w:r w:rsidR="00421225" w:rsidRPr="00421225">
        <w:rPr>
          <w:lang w:val="fr-FR"/>
        </w:rPr>
        <w:t>’</w:t>
      </w:r>
      <w:r w:rsidRPr="00421225">
        <w:rPr>
          <w:lang w:val="fr-FR"/>
        </w:rPr>
        <w:t>article 6 §§ 1 et 3 d). De plus, le souci de la Cour étant de s</w:t>
      </w:r>
      <w:r w:rsidR="00421225" w:rsidRPr="00421225">
        <w:rPr>
          <w:lang w:val="fr-FR"/>
        </w:rPr>
        <w:t>’</w:t>
      </w:r>
      <w:r w:rsidRPr="00421225">
        <w:rPr>
          <w:lang w:val="fr-FR"/>
        </w:rPr>
        <w:t>assurer que la procédure dans son ensemble était équitable, elle doit vérifier s</w:t>
      </w:r>
      <w:r w:rsidR="00421225" w:rsidRPr="00421225">
        <w:rPr>
          <w:lang w:val="fr-FR"/>
        </w:rPr>
        <w:t>’</w:t>
      </w:r>
      <w:r w:rsidRPr="00421225">
        <w:rPr>
          <w:lang w:val="fr-FR"/>
        </w:rPr>
        <w:t>il existait des éléments compensateurs suffisants non seulement dans les affaires où les déclarations d</w:t>
      </w:r>
      <w:r w:rsidR="00421225" w:rsidRPr="00421225">
        <w:rPr>
          <w:lang w:val="fr-FR"/>
        </w:rPr>
        <w:t>’</w:t>
      </w:r>
      <w:r w:rsidRPr="00421225">
        <w:rPr>
          <w:lang w:val="fr-FR"/>
        </w:rPr>
        <w:t>un témoin absent constituaient le fondement unique ou déterminant de la condamnation de l</w:t>
      </w:r>
      <w:r w:rsidR="00421225" w:rsidRPr="00421225">
        <w:rPr>
          <w:lang w:val="fr-FR"/>
        </w:rPr>
        <w:t>’</w:t>
      </w:r>
      <w:r w:rsidRPr="00421225">
        <w:rPr>
          <w:lang w:val="fr-FR"/>
        </w:rPr>
        <w:t xml:space="preserve">accusé, mais aussi dans celles où elle juge difficile de discerner si ces éléments constituaient la preuve unique ou déterminante mais est néanmoins </w:t>
      </w:r>
      <w:r w:rsidRPr="00421225">
        <w:rPr>
          <w:lang w:val="fr-FR"/>
        </w:rPr>
        <w:lastRenderedPageBreak/>
        <w:t>convaincue qu</w:t>
      </w:r>
      <w:r w:rsidR="00421225" w:rsidRPr="00421225">
        <w:rPr>
          <w:lang w:val="fr-FR"/>
        </w:rPr>
        <w:t>’</w:t>
      </w:r>
      <w:r w:rsidRPr="00421225">
        <w:rPr>
          <w:lang w:val="fr-FR"/>
        </w:rPr>
        <w:t>ils revêtaient un poids certain et que leur admission pouvait avoir causé des difficultés à la défense. La portée des facteurs compensateurs nécessaires pour que le procès soit considéré comme équitable dépendra de l</w:t>
      </w:r>
      <w:r w:rsidR="00421225" w:rsidRPr="00421225">
        <w:rPr>
          <w:lang w:val="fr-FR"/>
        </w:rPr>
        <w:t>’</w:t>
      </w:r>
      <w:r w:rsidRPr="00421225">
        <w:rPr>
          <w:lang w:val="fr-FR"/>
        </w:rPr>
        <w:t>importance que revêtent les déclarations du témoin absent. Plus cette importance est grande, plus les éléments compensateurs devront être solides afin que la procédure dans son ensemble soit considérée comme équitable.</w:t>
      </w:r>
    </w:p>
    <w:p w:rsidR="00523CDA" w:rsidRPr="00421225" w:rsidRDefault="00523CDA" w:rsidP="00421225">
      <w:pPr>
        <w:pStyle w:val="ECHRHeading4"/>
        <w:rPr>
          <w:lang w:val="fr-FR"/>
        </w:rPr>
      </w:pPr>
      <w:r w:rsidRPr="00421225">
        <w:rPr>
          <w:lang w:val="fr-FR"/>
        </w:rPr>
        <w:t>b)  Application de ces principes en l</w:t>
      </w:r>
      <w:r w:rsidR="00421225" w:rsidRPr="00421225">
        <w:rPr>
          <w:lang w:val="fr-FR"/>
        </w:rPr>
        <w:t>’</w:t>
      </w:r>
      <w:r w:rsidRPr="00421225">
        <w:rPr>
          <w:lang w:val="fr-FR"/>
        </w:rPr>
        <w:t>espèce</w:t>
      </w:r>
    </w:p>
    <w:p w:rsidR="006B7FFC" w:rsidRPr="00421225" w:rsidRDefault="006B7FFC" w:rsidP="00421225">
      <w:pPr>
        <w:pStyle w:val="ECHRHeading5"/>
        <w:rPr>
          <w:lang w:val="fr-FR"/>
        </w:rPr>
      </w:pPr>
      <w:r w:rsidRPr="00421225">
        <w:rPr>
          <w:lang w:val="fr-FR"/>
        </w:rPr>
        <w:t>i.  Sur le point de savoir si l</w:t>
      </w:r>
      <w:r w:rsidR="00421225" w:rsidRPr="00421225">
        <w:rPr>
          <w:lang w:val="fr-FR"/>
        </w:rPr>
        <w:t>’</w:t>
      </w:r>
      <w:r w:rsidRPr="00421225">
        <w:rPr>
          <w:lang w:val="fr-FR"/>
        </w:rPr>
        <w:t>absence de B au procès se justifiait par un motif sérieux</w:t>
      </w:r>
    </w:p>
    <w:p w:rsidR="002332B4"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45</w:t>
      </w:r>
      <w:r w:rsidRPr="00421225">
        <w:rPr>
          <w:lang w:val="fr-FR"/>
        </w:rPr>
        <w:fldChar w:fldCharType="end"/>
      </w:r>
      <w:r w:rsidR="00E77CB3" w:rsidRPr="00421225">
        <w:rPr>
          <w:lang w:val="fr-FR"/>
        </w:rPr>
        <w:t>.  </w:t>
      </w:r>
      <w:r w:rsidR="009471B7" w:rsidRPr="00421225">
        <w:rPr>
          <w:lang w:val="fr-FR"/>
        </w:rPr>
        <w:t xml:space="preserve">La Cour observe </w:t>
      </w:r>
      <w:r w:rsidR="002332B4" w:rsidRPr="00421225">
        <w:rPr>
          <w:lang w:val="fr-FR"/>
        </w:rPr>
        <w:t>qu</w:t>
      </w:r>
      <w:r w:rsidR="00421225" w:rsidRPr="00421225">
        <w:rPr>
          <w:lang w:val="fr-FR"/>
        </w:rPr>
        <w:t>’</w:t>
      </w:r>
      <w:r w:rsidR="002332B4" w:rsidRPr="00421225">
        <w:rPr>
          <w:lang w:val="fr-FR"/>
        </w:rPr>
        <w:t>en l</w:t>
      </w:r>
      <w:r w:rsidR="00421225" w:rsidRPr="00421225">
        <w:rPr>
          <w:lang w:val="fr-FR"/>
        </w:rPr>
        <w:t>’</w:t>
      </w:r>
      <w:r w:rsidR="002332B4" w:rsidRPr="00421225">
        <w:rPr>
          <w:lang w:val="fr-FR"/>
        </w:rPr>
        <w:t>espèce la non-comparution de B, qui a amené le tribunal de Lucera à admettre à titre de preuve sa déposition non vérifiée, s</w:t>
      </w:r>
      <w:r w:rsidR="00421225" w:rsidRPr="00421225">
        <w:rPr>
          <w:lang w:val="fr-FR"/>
        </w:rPr>
        <w:t>’</w:t>
      </w:r>
      <w:r w:rsidR="002332B4" w:rsidRPr="00421225">
        <w:rPr>
          <w:lang w:val="fr-FR"/>
        </w:rPr>
        <w:t>expliquait par l</w:t>
      </w:r>
      <w:r w:rsidR="00421225" w:rsidRPr="00421225">
        <w:rPr>
          <w:lang w:val="fr-FR"/>
        </w:rPr>
        <w:t>’</w:t>
      </w:r>
      <w:r w:rsidR="002332B4" w:rsidRPr="00421225">
        <w:rPr>
          <w:lang w:val="fr-FR"/>
        </w:rPr>
        <w:t>impossibilité d</w:t>
      </w:r>
      <w:r w:rsidR="00421225" w:rsidRPr="00421225">
        <w:rPr>
          <w:lang w:val="fr-FR"/>
        </w:rPr>
        <w:t>’</w:t>
      </w:r>
      <w:r w:rsidR="002332B4" w:rsidRPr="00421225">
        <w:rPr>
          <w:lang w:val="fr-FR"/>
        </w:rPr>
        <w:t xml:space="preserve">entrer en contact avec </w:t>
      </w:r>
      <w:r w:rsidR="00047D79" w:rsidRPr="00421225">
        <w:rPr>
          <w:lang w:val="fr-FR"/>
        </w:rPr>
        <w:t>c</w:t>
      </w:r>
      <w:r w:rsidR="002332B4" w:rsidRPr="00421225">
        <w:rPr>
          <w:lang w:val="fr-FR"/>
        </w:rPr>
        <w:t>e témoin. Les autorités avaient à plusieurs reprises et en vain essayé de lui signifier la citation à comparaître auprès du domicile qu</w:t>
      </w:r>
      <w:r w:rsidR="00421225" w:rsidRPr="00421225">
        <w:rPr>
          <w:lang w:val="fr-FR"/>
        </w:rPr>
        <w:t>’</w:t>
      </w:r>
      <w:r w:rsidR="002332B4" w:rsidRPr="00421225">
        <w:rPr>
          <w:lang w:val="fr-FR"/>
        </w:rPr>
        <w:t xml:space="preserve">il avait élu (le siège de la société de transport pour laquelle il travaillait – paragraphe </w:t>
      </w:r>
      <w:r w:rsidR="00A30B59" w:rsidRPr="00421225">
        <w:rPr>
          <w:noProof/>
          <w:lang w:val="fr-FR"/>
        </w:rPr>
        <w:t>20</w:t>
      </w:r>
      <w:r w:rsidR="002332B4" w:rsidRPr="00421225">
        <w:rPr>
          <w:lang w:val="fr-FR"/>
        </w:rPr>
        <w:t xml:space="preserve"> ci-dessus) et il ne s</w:t>
      </w:r>
      <w:r w:rsidR="00421225" w:rsidRPr="00421225">
        <w:rPr>
          <w:lang w:val="fr-FR"/>
        </w:rPr>
        <w:t>’</w:t>
      </w:r>
      <w:r w:rsidR="002332B4" w:rsidRPr="00421225">
        <w:rPr>
          <w:lang w:val="fr-FR"/>
        </w:rPr>
        <w:t>était pas présenté à l</w:t>
      </w:r>
      <w:r w:rsidR="00421225" w:rsidRPr="00421225">
        <w:rPr>
          <w:lang w:val="fr-FR"/>
        </w:rPr>
        <w:t>’</w:t>
      </w:r>
      <w:r w:rsidR="002332B4" w:rsidRPr="00421225">
        <w:rPr>
          <w:lang w:val="fr-FR"/>
        </w:rPr>
        <w:t xml:space="preserve">audience du 14 janvier 2010, qui devait être consacrée à son audition (paragraphe </w:t>
      </w:r>
      <w:r w:rsidR="00A30B59" w:rsidRPr="00421225">
        <w:rPr>
          <w:noProof/>
          <w:lang w:val="fr-FR"/>
        </w:rPr>
        <w:t>12</w:t>
      </w:r>
      <w:r w:rsidR="002332B4" w:rsidRPr="00421225">
        <w:rPr>
          <w:lang w:val="fr-FR"/>
        </w:rPr>
        <w:t xml:space="preserve"> ci-dessus)</w:t>
      </w:r>
      <w:r w:rsidR="00284F12" w:rsidRPr="00421225">
        <w:rPr>
          <w:lang w:val="fr-FR"/>
        </w:rPr>
        <w:t>.</w:t>
      </w:r>
    </w:p>
    <w:p w:rsidR="00284F12" w:rsidRPr="00421225" w:rsidRDefault="00284F12"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46</w:t>
      </w:r>
      <w:r w:rsidRPr="00421225">
        <w:rPr>
          <w:lang w:val="fr-FR"/>
        </w:rPr>
        <w:fldChar w:fldCharType="end"/>
      </w:r>
      <w:r w:rsidRPr="00421225">
        <w:rPr>
          <w:lang w:val="fr-FR"/>
        </w:rPr>
        <w:t>.  La Cour rappelle que lorsque l</w:t>
      </w:r>
      <w:r w:rsidR="00421225" w:rsidRPr="00421225">
        <w:rPr>
          <w:lang w:val="fr-FR"/>
        </w:rPr>
        <w:t>’</w:t>
      </w:r>
      <w:r w:rsidRPr="00421225">
        <w:rPr>
          <w:lang w:val="fr-FR"/>
        </w:rPr>
        <w:t>absence du témoin dépend de cette raison, elle exige du tribunal du fond qu</w:t>
      </w:r>
      <w:r w:rsidR="00421225" w:rsidRPr="00421225">
        <w:rPr>
          <w:lang w:val="fr-FR"/>
        </w:rPr>
        <w:t>’</w:t>
      </w:r>
      <w:r w:rsidRPr="00421225">
        <w:rPr>
          <w:lang w:val="fr-FR"/>
        </w:rPr>
        <w:t>il ait fait tout ce que l</w:t>
      </w:r>
      <w:r w:rsidR="00421225" w:rsidRPr="00421225">
        <w:rPr>
          <w:lang w:val="fr-FR"/>
        </w:rPr>
        <w:t>’</w:t>
      </w:r>
      <w:r w:rsidRPr="00421225">
        <w:rPr>
          <w:lang w:val="fr-FR"/>
        </w:rPr>
        <w:t>on pouvait raisonnablement attendre de lui pour assurer la comparution de l</w:t>
      </w:r>
      <w:r w:rsidR="00421225" w:rsidRPr="00421225">
        <w:rPr>
          <w:lang w:val="fr-FR"/>
        </w:rPr>
        <w:t>’</w:t>
      </w:r>
      <w:r w:rsidRPr="00421225">
        <w:rPr>
          <w:lang w:val="fr-FR"/>
        </w:rPr>
        <w:t>intéressé (</w:t>
      </w:r>
      <w:r w:rsidRPr="00421225">
        <w:rPr>
          <w:i/>
          <w:lang w:val="fr-FR"/>
        </w:rPr>
        <w:t>Gabrielyan c. Arménie</w:t>
      </w:r>
      <w:r w:rsidRPr="00421225">
        <w:rPr>
          <w:lang w:val="fr-FR"/>
        </w:rPr>
        <w:t>, n</w:t>
      </w:r>
      <w:r w:rsidRPr="00421225">
        <w:rPr>
          <w:vertAlign w:val="superscript"/>
          <w:lang w:val="fr-FR"/>
        </w:rPr>
        <w:t>o</w:t>
      </w:r>
      <w:r w:rsidRPr="00421225">
        <w:rPr>
          <w:lang w:val="fr-FR"/>
        </w:rPr>
        <w:t xml:space="preserve"> 8088/05</w:t>
      </w:r>
      <w:r w:rsidRPr="00421225">
        <w:rPr>
          <w:snapToGrid w:val="0"/>
          <w:szCs w:val="24"/>
          <w:lang w:val="fr-FR"/>
        </w:rPr>
        <w:t xml:space="preserve">, § 78, 10 </w:t>
      </w:r>
      <w:r w:rsidRPr="00421225">
        <w:rPr>
          <w:szCs w:val="24"/>
          <w:lang w:val="fr-FR"/>
        </w:rPr>
        <w:t>avril</w:t>
      </w:r>
      <w:r w:rsidRPr="00421225">
        <w:rPr>
          <w:snapToGrid w:val="0"/>
          <w:szCs w:val="24"/>
          <w:lang w:val="fr-FR"/>
        </w:rPr>
        <w:t xml:space="preserve"> 2012 ;</w:t>
      </w:r>
      <w:r w:rsidR="00047D79" w:rsidRPr="00421225">
        <w:rPr>
          <w:snapToGrid w:val="0"/>
          <w:szCs w:val="24"/>
          <w:lang w:val="fr-FR"/>
        </w:rPr>
        <w:t xml:space="preserve"> </w:t>
      </w:r>
      <w:r w:rsidRPr="00421225">
        <w:rPr>
          <w:i/>
          <w:lang w:val="fr-FR"/>
        </w:rPr>
        <w:t>Tseber c. République tchèque</w:t>
      </w:r>
      <w:r w:rsidRPr="00421225">
        <w:rPr>
          <w:lang w:val="fr-FR"/>
        </w:rPr>
        <w:t>, n</w:t>
      </w:r>
      <w:r w:rsidRPr="00421225">
        <w:rPr>
          <w:vertAlign w:val="superscript"/>
          <w:lang w:val="fr-FR"/>
        </w:rPr>
        <w:t>o</w:t>
      </w:r>
      <w:r w:rsidR="00657CE1" w:rsidRPr="00421225">
        <w:rPr>
          <w:lang w:val="fr-FR"/>
        </w:rPr>
        <w:t xml:space="preserve"> </w:t>
      </w:r>
      <w:r w:rsidRPr="00421225">
        <w:rPr>
          <w:lang w:val="fr-FR"/>
        </w:rPr>
        <w:t>46203/08</w:t>
      </w:r>
      <w:r w:rsidRPr="00421225">
        <w:rPr>
          <w:snapToGrid w:val="0"/>
          <w:lang w:val="fr-FR"/>
        </w:rPr>
        <w:t xml:space="preserve">, § 48, 22 </w:t>
      </w:r>
      <w:r w:rsidRPr="00421225">
        <w:rPr>
          <w:lang w:val="fr-FR"/>
        </w:rPr>
        <w:t>novembre</w:t>
      </w:r>
      <w:r w:rsidRPr="00421225">
        <w:rPr>
          <w:snapToGrid w:val="0"/>
          <w:lang w:val="fr-FR"/>
        </w:rPr>
        <w:t xml:space="preserve"> 2012 ; et </w:t>
      </w:r>
      <w:r w:rsidRPr="00421225">
        <w:rPr>
          <w:i/>
          <w:lang w:val="fr-FR"/>
        </w:rPr>
        <w:t>Kostecki c. Pologne</w:t>
      </w:r>
      <w:r w:rsidRPr="00421225">
        <w:rPr>
          <w:lang w:val="fr-FR"/>
        </w:rPr>
        <w:t>, n</w:t>
      </w:r>
      <w:r w:rsidRPr="00421225">
        <w:rPr>
          <w:vertAlign w:val="superscript"/>
          <w:lang w:val="fr-FR"/>
        </w:rPr>
        <w:t>o</w:t>
      </w:r>
      <w:r w:rsidRPr="00421225">
        <w:rPr>
          <w:lang w:val="fr-FR"/>
        </w:rPr>
        <w:t xml:space="preserve"> 14932/09</w:t>
      </w:r>
      <w:r w:rsidRPr="00421225">
        <w:rPr>
          <w:snapToGrid w:val="0"/>
          <w:lang w:val="fr-FR"/>
        </w:rPr>
        <w:t>, §</w:t>
      </w:r>
      <w:r w:rsidR="00047D79" w:rsidRPr="00421225">
        <w:rPr>
          <w:snapToGrid w:val="0"/>
          <w:lang w:val="fr-FR"/>
        </w:rPr>
        <w:t>§</w:t>
      </w:r>
      <w:r w:rsidRPr="00421225">
        <w:rPr>
          <w:snapToGrid w:val="0"/>
          <w:lang w:val="fr-FR"/>
        </w:rPr>
        <w:t xml:space="preserve"> 65-66, 4 juin 2013). L</w:t>
      </w:r>
      <w:r w:rsidR="00421225" w:rsidRPr="00421225">
        <w:rPr>
          <w:snapToGrid w:val="0"/>
          <w:lang w:val="fr-FR"/>
        </w:rPr>
        <w:t>’</w:t>
      </w:r>
      <w:r w:rsidRPr="00421225">
        <w:rPr>
          <w:snapToGrid w:val="0"/>
          <w:lang w:val="fr-FR"/>
        </w:rPr>
        <w:t>impossibilité pour les juridictions internes d</w:t>
      </w:r>
      <w:r w:rsidR="00421225" w:rsidRPr="00421225">
        <w:rPr>
          <w:snapToGrid w:val="0"/>
          <w:lang w:val="fr-FR"/>
        </w:rPr>
        <w:t>’</w:t>
      </w:r>
      <w:r w:rsidRPr="00421225">
        <w:rPr>
          <w:snapToGrid w:val="0"/>
          <w:lang w:val="fr-FR"/>
        </w:rPr>
        <w:t>entrer en contact avec le témoin concerné ou le fait que celui-ci ait quitté le territoire du pays dans lequel l</w:t>
      </w:r>
      <w:r w:rsidR="00421225" w:rsidRPr="00421225">
        <w:rPr>
          <w:snapToGrid w:val="0"/>
          <w:lang w:val="fr-FR"/>
        </w:rPr>
        <w:t>’</w:t>
      </w:r>
      <w:r w:rsidRPr="00421225">
        <w:rPr>
          <w:snapToGrid w:val="0"/>
          <w:lang w:val="fr-FR"/>
        </w:rPr>
        <w:t>instance est conduite ont été jugés insuffisants en soi pour satisfaire à</w:t>
      </w:r>
      <w:r w:rsidRPr="00421225">
        <w:rPr>
          <w:lang w:val="fr-FR"/>
        </w:rPr>
        <w:t xml:space="preserve"> l</w:t>
      </w:r>
      <w:r w:rsidR="00421225" w:rsidRPr="00421225">
        <w:rPr>
          <w:lang w:val="fr-FR"/>
        </w:rPr>
        <w:t>’</w:t>
      </w:r>
      <w:r w:rsidRPr="00421225">
        <w:rPr>
          <w:lang w:val="fr-FR"/>
        </w:rPr>
        <w:t xml:space="preserve">article 6 § 3 d), lequel exige des </w:t>
      </w:r>
      <w:r w:rsidRPr="00421225">
        <w:rPr>
          <w:rFonts w:cstheme="minorHAnsi"/>
          <w:lang w:val="fr-FR"/>
        </w:rPr>
        <w:t>É</w:t>
      </w:r>
      <w:r w:rsidRPr="00421225">
        <w:rPr>
          <w:lang w:val="fr-FR"/>
        </w:rPr>
        <w:t>tats contractants qu</w:t>
      </w:r>
      <w:r w:rsidR="00421225" w:rsidRPr="00421225">
        <w:rPr>
          <w:lang w:val="fr-FR"/>
        </w:rPr>
        <w:t>’</w:t>
      </w:r>
      <w:r w:rsidRPr="00421225">
        <w:rPr>
          <w:lang w:val="fr-FR"/>
        </w:rPr>
        <w:t>ils prennent des mesures positives pour permettre à l</w:t>
      </w:r>
      <w:r w:rsidR="00421225" w:rsidRPr="00421225">
        <w:rPr>
          <w:lang w:val="fr-FR"/>
        </w:rPr>
        <w:t>’</w:t>
      </w:r>
      <w:r w:rsidRPr="00421225">
        <w:rPr>
          <w:lang w:val="fr-FR"/>
        </w:rPr>
        <w:t>accusé d</w:t>
      </w:r>
      <w:r w:rsidR="00421225" w:rsidRPr="00421225">
        <w:rPr>
          <w:lang w:val="fr-FR"/>
        </w:rPr>
        <w:t>’</w:t>
      </w:r>
      <w:r w:rsidRPr="00421225">
        <w:rPr>
          <w:lang w:val="fr-FR"/>
        </w:rPr>
        <w:t>interroger ou de faire interroger les témoins à charge (</w:t>
      </w:r>
      <w:r w:rsidRPr="00421225">
        <w:rPr>
          <w:i/>
          <w:lang w:val="fr-FR"/>
        </w:rPr>
        <w:t>Gabrielyan</w:t>
      </w:r>
      <w:r w:rsidRPr="00421225">
        <w:rPr>
          <w:lang w:val="fr-FR"/>
        </w:rPr>
        <w:t xml:space="preserve">, précité, § 81, </w:t>
      </w:r>
      <w:r w:rsidRPr="00421225">
        <w:rPr>
          <w:i/>
          <w:lang w:val="fr-FR"/>
        </w:rPr>
        <w:t>Tseber</w:t>
      </w:r>
      <w:r w:rsidRPr="00421225">
        <w:rPr>
          <w:lang w:val="fr-FR"/>
        </w:rPr>
        <w:t xml:space="preserve">, précité, § 48, et </w:t>
      </w:r>
      <w:r w:rsidRPr="00421225">
        <w:rPr>
          <w:i/>
          <w:lang w:val="fr-FR"/>
        </w:rPr>
        <w:t>Lučić c. Croatie</w:t>
      </w:r>
      <w:r w:rsidRPr="00421225">
        <w:rPr>
          <w:snapToGrid w:val="0"/>
          <w:lang w:val="fr-FR"/>
        </w:rPr>
        <w:t xml:space="preserve">, </w:t>
      </w:r>
      <w:r w:rsidRPr="00421225">
        <w:rPr>
          <w:lang w:val="fr-FR"/>
        </w:rPr>
        <w:t>n</w:t>
      </w:r>
      <w:r w:rsidRPr="00421225">
        <w:rPr>
          <w:vertAlign w:val="superscript"/>
          <w:lang w:val="fr-FR"/>
        </w:rPr>
        <w:t>o</w:t>
      </w:r>
      <w:r w:rsidRPr="00421225">
        <w:rPr>
          <w:lang w:val="fr-FR"/>
        </w:rPr>
        <w:t> 5699/11</w:t>
      </w:r>
      <w:r w:rsidRPr="00421225">
        <w:rPr>
          <w:snapToGrid w:val="0"/>
          <w:lang w:val="fr-FR"/>
        </w:rPr>
        <w:t xml:space="preserve">, § 79, 27 </w:t>
      </w:r>
      <w:r w:rsidRPr="00421225">
        <w:rPr>
          <w:lang w:val="fr-FR"/>
        </w:rPr>
        <w:t>février</w:t>
      </w:r>
      <w:r w:rsidRPr="00421225">
        <w:rPr>
          <w:snapToGrid w:val="0"/>
          <w:lang w:val="fr-FR"/>
        </w:rPr>
        <w:t xml:space="preserve"> 2014</w:t>
      </w:r>
      <w:r w:rsidR="00657CE1" w:rsidRPr="00421225">
        <w:rPr>
          <w:lang w:val="fr-FR"/>
        </w:rPr>
        <w:t>).</w:t>
      </w:r>
    </w:p>
    <w:p w:rsidR="002332B4" w:rsidRPr="00421225" w:rsidRDefault="00284F12" w:rsidP="00421225">
      <w:pPr>
        <w:pStyle w:val="ECHRPara"/>
        <w:rPr>
          <w:snapToGrid w:val="0"/>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47</w:t>
      </w:r>
      <w:r w:rsidRPr="00421225">
        <w:rPr>
          <w:lang w:val="fr-FR"/>
        </w:rPr>
        <w:fldChar w:fldCharType="end"/>
      </w:r>
      <w:r w:rsidRPr="00421225">
        <w:rPr>
          <w:lang w:val="fr-FR"/>
        </w:rPr>
        <w:t xml:space="preserve">.  Pareilles mesures relèvent de la diligence que les </w:t>
      </w:r>
      <w:r w:rsidRPr="00421225">
        <w:rPr>
          <w:rFonts w:cstheme="minorHAnsi"/>
          <w:lang w:val="fr-FR"/>
        </w:rPr>
        <w:t>É</w:t>
      </w:r>
      <w:r w:rsidRPr="00421225">
        <w:rPr>
          <w:lang w:val="fr-FR"/>
        </w:rPr>
        <w:t>tats contractants doivent déployer pour assurer la jouissance effective des droits garantis par l</w:t>
      </w:r>
      <w:r w:rsidR="00421225" w:rsidRPr="00421225">
        <w:rPr>
          <w:lang w:val="fr-FR"/>
        </w:rPr>
        <w:t>’</w:t>
      </w:r>
      <w:r w:rsidRPr="00421225">
        <w:rPr>
          <w:lang w:val="fr-FR"/>
        </w:rPr>
        <w:t>article 6 (</w:t>
      </w:r>
      <w:r w:rsidRPr="00421225">
        <w:rPr>
          <w:i/>
          <w:lang w:val="fr-FR"/>
        </w:rPr>
        <w:t>Gabrielyan</w:t>
      </w:r>
      <w:r w:rsidRPr="00421225">
        <w:rPr>
          <w:lang w:val="fr-FR"/>
        </w:rPr>
        <w:t>, précité, § 81), faute de quoi l</w:t>
      </w:r>
      <w:r w:rsidR="00421225" w:rsidRPr="00421225">
        <w:rPr>
          <w:lang w:val="fr-FR"/>
        </w:rPr>
        <w:t>’</w:t>
      </w:r>
      <w:r w:rsidRPr="00421225">
        <w:rPr>
          <w:lang w:val="fr-FR"/>
        </w:rPr>
        <w:t>absence du témoin est imputable aux autorités internes (</w:t>
      </w:r>
      <w:r w:rsidRPr="00421225">
        <w:rPr>
          <w:i/>
          <w:lang w:val="fr-FR"/>
        </w:rPr>
        <w:t>Tseber</w:t>
      </w:r>
      <w:r w:rsidRPr="00421225">
        <w:rPr>
          <w:lang w:val="fr-FR"/>
        </w:rPr>
        <w:t xml:space="preserve">, précité, § 48 ; </w:t>
      </w:r>
      <w:r w:rsidRPr="00421225">
        <w:rPr>
          <w:i/>
          <w:lang w:val="fr-FR"/>
        </w:rPr>
        <w:t>Lučić</w:t>
      </w:r>
      <w:r w:rsidRPr="00421225">
        <w:rPr>
          <w:lang w:val="fr-FR"/>
        </w:rPr>
        <w:t>, précité, § 79</w:t>
      </w:r>
      <w:r w:rsidR="00E2084E" w:rsidRPr="00421225">
        <w:rPr>
          <w:lang w:val="fr-FR"/>
        </w:rPr>
        <w:t xml:space="preserve"> ; </w:t>
      </w:r>
      <w:r w:rsidRPr="00421225">
        <w:rPr>
          <w:lang w:val="fr-FR"/>
        </w:rPr>
        <w:t xml:space="preserve">et </w:t>
      </w:r>
      <w:r w:rsidRPr="00421225">
        <w:rPr>
          <w:i/>
          <w:lang w:val="fr-FR"/>
        </w:rPr>
        <w:t>Schatschaschwili</w:t>
      </w:r>
      <w:r w:rsidRPr="00421225">
        <w:rPr>
          <w:lang w:val="fr-FR"/>
        </w:rPr>
        <w:t>, précité, § 120). En particulier, ces dernières doivent avoir recherché activement le témoin avec l</w:t>
      </w:r>
      <w:r w:rsidR="00421225" w:rsidRPr="00421225">
        <w:rPr>
          <w:lang w:val="fr-FR"/>
        </w:rPr>
        <w:t>’</w:t>
      </w:r>
      <w:r w:rsidRPr="00421225">
        <w:rPr>
          <w:lang w:val="fr-FR"/>
        </w:rPr>
        <w:t>aide des autorités nationales, notamment de la police (</w:t>
      </w:r>
      <w:r w:rsidRPr="00421225">
        <w:rPr>
          <w:i/>
          <w:lang w:val="fr-FR"/>
        </w:rPr>
        <w:t>Salikhov c. Russie</w:t>
      </w:r>
      <w:r w:rsidRPr="00421225">
        <w:rPr>
          <w:lang w:val="fr-FR"/>
        </w:rPr>
        <w:t>, n</w:t>
      </w:r>
      <w:r w:rsidRPr="00421225">
        <w:rPr>
          <w:vertAlign w:val="superscript"/>
          <w:lang w:val="fr-FR"/>
        </w:rPr>
        <w:t>o</w:t>
      </w:r>
      <w:r w:rsidRPr="00421225">
        <w:rPr>
          <w:lang w:val="fr-FR"/>
        </w:rPr>
        <w:t xml:space="preserve"> 23880/05</w:t>
      </w:r>
      <w:r w:rsidRPr="00421225">
        <w:rPr>
          <w:snapToGrid w:val="0"/>
          <w:szCs w:val="24"/>
          <w:lang w:val="fr-FR"/>
        </w:rPr>
        <w:t xml:space="preserve">, §§ 116-117, 3 </w:t>
      </w:r>
      <w:r w:rsidRPr="00421225">
        <w:rPr>
          <w:szCs w:val="24"/>
          <w:lang w:val="fr-FR"/>
        </w:rPr>
        <w:t>mai</w:t>
      </w:r>
      <w:r w:rsidRPr="00421225">
        <w:rPr>
          <w:snapToGrid w:val="0"/>
          <w:szCs w:val="24"/>
          <w:lang w:val="fr-FR"/>
        </w:rPr>
        <w:t xml:space="preserve"> 2012 </w:t>
      </w:r>
      <w:r w:rsidRPr="00421225">
        <w:rPr>
          <w:lang w:val="fr-FR"/>
        </w:rPr>
        <w:t xml:space="preserve">; </w:t>
      </w:r>
      <w:r w:rsidRPr="00421225">
        <w:rPr>
          <w:i/>
          <w:lang w:val="fr-FR"/>
        </w:rPr>
        <w:t>Prăjină c. Roumanie</w:t>
      </w:r>
      <w:r w:rsidRPr="00421225">
        <w:rPr>
          <w:lang w:val="fr-FR"/>
        </w:rPr>
        <w:t>, n</w:t>
      </w:r>
      <w:r w:rsidRPr="00421225">
        <w:rPr>
          <w:vertAlign w:val="superscript"/>
          <w:lang w:val="fr-FR"/>
        </w:rPr>
        <w:t>o</w:t>
      </w:r>
      <w:r w:rsidRPr="00421225">
        <w:rPr>
          <w:lang w:val="fr-FR"/>
        </w:rPr>
        <w:t xml:space="preserve"> 5592/05</w:t>
      </w:r>
      <w:r w:rsidRPr="00421225">
        <w:rPr>
          <w:snapToGrid w:val="0"/>
          <w:lang w:val="fr-FR"/>
        </w:rPr>
        <w:t xml:space="preserve">, § 47, 7 </w:t>
      </w:r>
      <w:r w:rsidRPr="00421225">
        <w:rPr>
          <w:lang w:val="fr-FR"/>
        </w:rPr>
        <w:t>janvier</w:t>
      </w:r>
      <w:r w:rsidRPr="00421225">
        <w:rPr>
          <w:snapToGrid w:val="0"/>
          <w:lang w:val="fr-FR"/>
        </w:rPr>
        <w:t xml:space="preserve"> 2014 ; et </w:t>
      </w:r>
      <w:r w:rsidRPr="00421225">
        <w:rPr>
          <w:i/>
          <w:lang w:val="fr-FR"/>
        </w:rPr>
        <w:t>Lučić</w:t>
      </w:r>
      <w:r w:rsidRPr="00421225">
        <w:rPr>
          <w:snapToGrid w:val="0"/>
          <w:lang w:val="fr-FR"/>
        </w:rPr>
        <w:t>, précité, § 79), et, en règle générale, avoir eu recours à l</w:t>
      </w:r>
      <w:r w:rsidR="00421225" w:rsidRPr="00421225">
        <w:rPr>
          <w:snapToGrid w:val="0"/>
          <w:lang w:val="fr-FR"/>
        </w:rPr>
        <w:t>’</w:t>
      </w:r>
      <w:r w:rsidRPr="00421225">
        <w:rPr>
          <w:snapToGrid w:val="0"/>
          <w:lang w:val="fr-FR"/>
        </w:rPr>
        <w:t>entraide judiciaire internationale lorsque le témoin en question résidait à l</w:t>
      </w:r>
      <w:r w:rsidR="00421225" w:rsidRPr="00421225">
        <w:rPr>
          <w:snapToGrid w:val="0"/>
          <w:lang w:val="fr-FR"/>
        </w:rPr>
        <w:t>’</w:t>
      </w:r>
      <w:r w:rsidRPr="00421225">
        <w:rPr>
          <w:snapToGrid w:val="0"/>
          <w:lang w:val="fr-FR"/>
        </w:rPr>
        <w:t>étranger et que pareil mécanisme était disponible (</w:t>
      </w:r>
      <w:r w:rsidRPr="00421225">
        <w:rPr>
          <w:i/>
          <w:snapToGrid w:val="0"/>
          <w:lang w:val="fr-FR"/>
        </w:rPr>
        <w:t>Gabrielyan</w:t>
      </w:r>
      <w:r w:rsidRPr="00421225">
        <w:rPr>
          <w:snapToGrid w:val="0"/>
          <w:lang w:val="fr-FR"/>
        </w:rPr>
        <w:t xml:space="preserve">, précité, § 83 ; </w:t>
      </w:r>
      <w:r w:rsidRPr="00421225">
        <w:rPr>
          <w:i/>
          <w:lang w:val="fr-FR"/>
        </w:rPr>
        <w:t>Lučić</w:t>
      </w:r>
      <w:r w:rsidRPr="00421225">
        <w:rPr>
          <w:snapToGrid w:val="0"/>
          <w:lang w:val="fr-FR"/>
        </w:rPr>
        <w:t xml:space="preserve">, précité, </w:t>
      </w:r>
      <w:r w:rsidR="00520535" w:rsidRPr="00421225">
        <w:rPr>
          <w:snapToGrid w:val="0"/>
          <w:lang w:val="fr-FR"/>
        </w:rPr>
        <w:lastRenderedPageBreak/>
        <w:t>§ </w:t>
      </w:r>
      <w:r w:rsidRPr="00421225">
        <w:rPr>
          <w:snapToGrid w:val="0"/>
          <w:lang w:val="fr-FR"/>
        </w:rPr>
        <w:t xml:space="preserve">80 ; </w:t>
      </w:r>
      <w:r w:rsidRPr="00421225">
        <w:rPr>
          <w:i/>
          <w:snapToGrid w:val="0"/>
          <w:lang w:val="fr-FR"/>
        </w:rPr>
        <w:t>Nikolitsas</w:t>
      </w:r>
      <w:r w:rsidR="003954DB" w:rsidRPr="00421225">
        <w:rPr>
          <w:i/>
          <w:snapToGrid w:val="0"/>
          <w:lang w:val="fr-FR"/>
        </w:rPr>
        <w:t xml:space="preserve"> </w:t>
      </w:r>
      <w:r w:rsidR="003954DB" w:rsidRPr="00421225">
        <w:rPr>
          <w:rFonts w:eastAsia="Times New Roman"/>
          <w:i/>
          <w:lang w:val="fr-FR"/>
        </w:rPr>
        <w:t>c. Grèce</w:t>
      </w:r>
      <w:r w:rsidR="003954DB" w:rsidRPr="00421225">
        <w:rPr>
          <w:rFonts w:eastAsia="Times New Roman"/>
          <w:lang w:val="fr-FR"/>
        </w:rPr>
        <w:t>, n</w:t>
      </w:r>
      <w:r w:rsidR="003954DB" w:rsidRPr="00421225">
        <w:rPr>
          <w:rFonts w:eastAsia="Times New Roman"/>
          <w:vertAlign w:val="superscript"/>
          <w:lang w:val="fr-FR"/>
        </w:rPr>
        <w:t>o</w:t>
      </w:r>
      <w:r w:rsidR="003954DB" w:rsidRPr="00421225">
        <w:rPr>
          <w:rFonts w:eastAsia="Times New Roman"/>
          <w:lang w:val="fr-FR"/>
        </w:rPr>
        <w:t> 63117/09, § 35, 3 juillet 2014</w:t>
      </w:r>
      <w:r w:rsidRPr="00421225">
        <w:rPr>
          <w:snapToGrid w:val="0"/>
          <w:lang w:val="fr-FR"/>
        </w:rPr>
        <w:t xml:space="preserve"> ; et </w:t>
      </w:r>
      <w:r w:rsidRPr="00421225">
        <w:rPr>
          <w:i/>
          <w:lang w:val="fr-FR"/>
        </w:rPr>
        <w:t>Schatschaschwili</w:t>
      </w:r>
      <w:r w:rsidRPr="00421225">
        <w:rPr>
          <w:lang w:val="fr-FR"/>
        </w:rPr>
        <w:t>, précité, § 121</w:t>
      </w:r>
      <w:r w:rsidRPr="00421225">
        <w:rPr>
          <w:snapToGrid w:val="0"/>
          <w:lang w:val="fr-FR"/>
        </w:rPr>
        <w:t>).</w:t>
      </w:r>
    </w:p>
    <w:p w:rsidR="003954DB" w:rsidRPr="00421225" w:rsidRDefault="003954DB" w:rsidP="00421225">
      <w:pPr>
        <w:pStyle w:val="ECHRPara"/>
        <w:rPr>
          <w:lang w:val="fr-FR"/>
        </w:rPr>
      </w:pPr>
      <w:r w:rsidRPr="00421225">
        <w:rPr>
          <w:snapToGrid w:val="0"/>
          <w:lang w:val="fr-FR"/>
        </w:rPr>
        <w:fldChar w:fldCharType="begin"/>
      </w:r>
      <w:r w:rsidRPr="00421225">
        <w:rPr>
          <w:snapToGrid w:val="0"/>
          <w:lang w:val="fr-FR"/>
        </w:rPr>
        <w:instrText xml:space="preserve"> SEQ level0 \*arabic </w:instrText>
      </w:r>
      <w:r w:rsidRPr="00421225">
        <w:rPr>
          <w:snapToGrid w:val="0"/>
          <w:lang w:val="fr-FR"/>
        </w:rPr>
        <w:fldChar w:fldCharType="separate"/>
      </w:r>
      <w:r w:rsidR="00421225" w:rsidRPr="00421225">
        <w:rPr>
          <w:noProof/>
          <w:snapToGrid w:val="0"/>
          <w:lang w:val="fr-FR"/>
        </w:rPr>
        <w:t>48</w:t>
      </w:r>
      <w:r w:rsidRPr="00421225">
        <w:rPr>
          <w:snapToGrid w:val="0"/>
          <w:lang w:val="fr-FR"/>
        </w:rPr>
        <w:fldChar w:fldCharType="end"/>
      </w:r>
      <w:r w:rsidRPr="00421225">
        <w:rPr>
          <w:snapToGrid w:val="0"/>
          <w:lang w:val="fr-FR"/>
        </w:rPr>
        <w:t>.  </w:t>
      </w:r>
      <w:r w:rsidRPr="00421225">
        <w:rPr>
          <w:lang w:val="fr-FR"/>
        </w:rPr>
        <w:t>Pour que les autorités soient considérées comme ayant déployé tous les efforts raisonnables pour assurer la comparution d</w:t>
      </w:r>
      <w:r w:rsidR="00421225" w:rsidRPr="00421225">
        <w:rPr>
          <w:lang w:val="fr-FR"/>
        </w:rPr>
        <w:t>’</w:t>
      </w:r>
      <w:r w:rsidRPr="00421225">
        <w:rPr>
          <w:lang w:val="fr-FR"/>
        </w:rPr>
        <w:t>un témoin, il faut aussi que les tribunaux internes aient procédé à un contrôle minutieux des raisons données pour justifier l</w:t>
      </w:r>
      <w:r w:rsidR="00421225" w:rsidRPr="00421225">
        <w:rPr>
          <w:lang w:val="fr-FR"/>
        </w:rPr>
        <w:t>’</w:t>
      </w:r>
      <w:r w:rsidRPr="00421225">
        <w:rPr>
          <w:lang w:val="fr-FR"/>
        </w:rPr>
        <w:t>incapacité du témoin à assister au procès, en tenant compte de la situation particulière de l</w:t>
      </w:r>
      <w:r w:rsidR="00421225" w:rsidRPr="00421225">
        <w:rPr>
          <w:lang w:val="fr-FR"/>
        </w:rPr>
        <w:t>’</w:t>
      </w:r>
      <w:r w:rsidRPr="00421225">
        <w:rPr>
          <w:lang w:val="fr-FR"/>
        </w:rPr>
        <w:t>intéressé (</w:t>
      </w:r>
      <w:r w:rsidRPr="00421225">
        <w:rPr>
          <w:i/>
          <w:lang w:val="fr-FR"/>
        </w:rPr>
        <w:t>Nechto c. Russie</w:t>
      </w:r>
      <w:r w:rsidRPr="00421225">
        <w:rPr>
          <w:lang w:val="fr-FR"/>
        </w:rPr>
        <w:t>, n</w:t>
      </w:r>
      <w:r w:rsidRPr="00421225">
        <w:rPr>
          <w:vertAlign w:val="superscript"/>
          <w:lang w:val="fr-FR"/>
        </w:rPr>
        <w:t>o </w:t>
      </w:r>
      <w:r w:rsidRPr="00421225">
        <w:rPr>
          <w:lang w:val="fr-FR"/>
        </w:rPr>
        <w:t>24893/05</w:t>
      </w:r>
      <w:r w:rsidRPr="00421225">
        <w:rPr>
          <w:snapToGrid w:val="0"/>
          <w:szCs w:val="24"/>
          <w:lang w:val="fr-FR"/>
        </w:rPr>
        <w:t>, § 127, 24</w:t>
      </w:r>
      <w:r w:rsidR="00657CE1" w:rsidRPr="00421225">
        <w:rPr>
          <w:snapToGrid w:val="0"/>
          <w:szCs w:val="24"/>
          <w:lang w:val="fr-FR"/>
        </w:rPr>
        <w:t xml:space="preserve"> </w:t>
      </w:r>
      <w:r w:rsidRPr="00421225">
        <w:rPr>
          <w:szCs w:val="24"/>
          <w:lang w:val="fr-FR"/>
        </w:rPr>
        <w:t>janvier</w:t>
      </w:r>
      <w:r w:rsidRPr="00421225">
        <w:rPr>
          <w:snapToGrid w:val="0"/>
          <w:szCs w:val="24"/>
          <w:lang w:val="fr-FR"/>
        </w:rPr>
        <w:t xml:space="preserve"> 2012 </w:t>
      </w:r>
      <w:r w:rsidRPr="00421225">
        <w:rPr>
          <w:lang w:val="fr-FR"/>
        </w:rPr>
        <w:t xml:space="preserve">; </w:t>
      </w:r>
      <w:r w:rsidRPr="00421225">
        <w:rPr>
          <w:i/>
          <w:lang w:val="fr-FR"/>
        </w:rPr>
        <w:t>Damir</w:t>
      </w:r>
      <w:r w:rsidRPr="00421225">
        <w:rPr>
          <w:lang w:val="fr-FR"/>
        </w:rPr>
        <w:t xml:space="preserve"> </w:t>
      </w:r>
      <w:r w:rsidRPr="00421225">
        <w:rPr>
          <w:i/>
          <w:lang w:val="fr-FR"/>
        </w:rPr>
        <w:t>Sibgatullin c. Russie</w:t>
      </w:r>
      <w:r w:rsidRPr="00421225">
        <w:rPr>
          <w:lang w:val="fr-FR"/>
        </w:rPr>
        <w:t>, n</w:t>
      </w:r>
      <w:r w:rsidRPr="00421225">
        <w:rPr>
          <w:vertAlign w:val="superscript"/>
          <w:lang w:val="fr-FR"/>
        </w:rPr>
        <w:t>o </w:t>
      </w:r>
      <w:r w:rsidRPr="00421225">
        <w:rPr>
          <w:lang w:val="fr-FR"/>
        </w:rPr>
        <w:t>1413/05, § 56, 24</w:t>
      </w:r>
      <w:r w:rsidR="00657CE1" w:rsidRPr="00421225">
        <w:rPr>
          <w:lang w:val="fr-FR"/>
        </w:rPr>
        <w:t xml:space="preserve"> </w:t>
      </w:r>
      <w:r w:rsidRPr="00421225">
        <w:rPr>
          <w:lang w:val="fr-FR"/>
        </w:rPr>
        <w:t xml:space="preserve">avril 2012 ; </w:t>
      </w:r>
      <w:r w:rsidRPr="00421225">
        <w:rPr>
          <w:i/>
          <w:lang w:val="fr-FR"/>
        </w:rPr>
        <w:t>Yevgeniy Ivanov c.</w:t>
      </w:r>
      <w:r w:rsidR="00657CE1" w:rsidRPr="00421225">
        <w:rPr>
          <w:i/>
          <w:lang w:val="fr-FR"/>
        </w:rPr>
        <w:t xml:space="preserve"> </w:t>
      </w:r>
      <w:r w:rsidRPr="00421225">
        <w:rPr>
          <w:i/>
          <w:lang w:val="fr-FR"/>
        </w:rPr>
        <w:t>Russie</w:t>
      </w:r>
      <w:r w:rsidRPr="00421225">
        <w:rPr>
          <w:lang w:val="fr-FR"/>
        </w:rPr>
        <w:t>, n</w:t>
      </w:r>
      <w:r w:rsidRPr="00421225">
        <w:rPr>
          <w:vertAlign w:val="superscript"/>
          <w:lang w:val="fr-FR"/>
        </w:rPr>
        <w:t>o</w:t>
      </w:r>
      <w:r w:rsidRPr="00421225">
        <w:rPr>
          <w:lang w:val="fr-FR"/>
        </w:rPr>
        <w:t> 27100/03</w:t>
      </w:r>
      <w:r w:rsidRPr="00421225">
        <w:rPr>
          <w:snapToGrid w:val="0"/>
          <w:lang w:val="fr-FR"/>
        </w:rPr>
        <w:t xml:space="preserve">, § 47, 25 </w:t>
      </w:r>
      <w:r w:rsidRPr="00421225">
        <w:rPr>
          <w:lang w:val="fr-FR"/>
        </w:rPr>
        <w:t>avril</w:t>
      </w:r>
      <w:r w:rsidRPr="00421225">
        <w:rPr>
          <w:snapToGrid w:val="0"/>
          <w:lang w:val="fr-FR"/>
        </w:rPr>
        <w:t xml:space="preserve"> 2013</w:t>
      </w:r>
      <w:r w:rsidRPr="00421225">
        <w:rPr>
          <w:lang w:val="fr-FR"/>
        </w:rPr>
        <w:t xml:space="preserve"> ; et </w:t>
      </w:r>
      <w:r w:rsidRPr="00421225">
        <w:rPr>
          <w:i/>
          <w:lang w:val="fr-FR"/>
        </w:rPr>
        <w:t>Schatschaschwili</w:t>
      </w:r>
      <w:r w:rsidRPr="00421225">
        <w:rPr>
          <w:lang w:val="fr-FR"/>
        </w:rPr>
        <w:t>, précité, § 122).</w:t>
      </w:r>
    </w:p>
    <w:p w:rsidR="002332B4" w:rsidRPr="00421225" w:rsidRDefault="00FD47B3"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49</w:t>
      </w:r>
      <w:r w:rsidRPr="00421225">
        <w:rPr>
          <w:lang w:val="fr-FR"/>
        </w:rPr>
        <w:fldChar w:fldCharType="end"/>
      </w:r>
      <w:r w:rsidRPr="00421225">
        <w:rPr>
          <w:lang w:val="fr-FR"/>
        </w:rPr>
        <w:t>.  Force est de constater qu</w:t>
      </w:r>
      <w:r w:rsidR="00421225" w:rsidRPr="00421225">
        <w:rPr>
          <w:lang w:val="fr-FR"/>
        </w:rPr>
        <w:t>’</w:t>
      </w:r>
      <w:r w:rsidRPr="00421225">
        <w:rPr>
          <w:lang w:val="fr-FR"/>
        </w:rPr>
        <w:t>en l</w:t>
      </w:r>
      <w:r w:rsidR="00421225" w:rsidRPr="00421225">
        <w:rPr>
          <w:lang w:val="fr-FR"/>
        </w:rPr>
        <w:t>’</w:t>
      </w:r>
      <w:r w:rsidRPr="00421225">
        <w:rPr>
          <w:lang w:val="fr-FR"/>
        </w:rPr>
        <w:t>espèce les tribunaux italiens se sont bornés à indiquer que l</w:t>
      </w:r>
      <w:r w:rsidR="00421225" w:rsidRPr="00421225">
        <w:rPr>
          <w:lang w:val="fr-FR"/>
        </w:rPr>
        <w:t>’</w:t>
      </w:r>
      <w:r w:rsidRPr="00421225">
        <w:rPr>
          <w:lang w:val="fr-FR"/>
        </w:rPr>
        <w:t>absence de B, qui avait un travail stable et régulier en Italie et s</w:t>
      </w:r>
      <w:r w:rsidR="00421225" w:rsidRPr="00421225">
        <w:rPr>
          <w:lang w:val="fr-FR"/>
        </w:rPr>
        <w:t>’</w:t>
      </w:r>
      <w:r w:rsidRPr="00421225">
        <w:rPr>
          <w:lang w:val="fr-FR"/>
        </w:rPr>
        <w:t>était montré disposé à collaborer avec les autorités, n</w:t>
      </w:r>
      <w:r w:rsidR="00421225" w:rsidRPr="00421225">
        <w:rPr>
          <w:lang w:val="fr-FR"/>
        </w:rPr>
        <w:t>’</w:t>
      </w:r>
      <w:r w:rsidRPr="00421225">
        <w:rPr>
          <w:lang w:val="fr-FR"/>
        </w:rPr>
        <w:t xml:space="preserve">était pas prévisible et que les recherches du témoin en Italie avaient été vaines (paragraphes </w:t>
      </w:r>
      <w:r w:rsidR="00A30B59" w:rsidRPr="00421225">
        <w:rPr>
          <w:noProof/>
          <w:lang w:val="fr-FR"/>
        </w:rPr>
        <w:t>16</w:t>
      </w:r>
      <w:r w:rsidRPr="00421225">
        <w:rPr>
          <w:lang w:val="fr-FR"/>
        </w:rPr>
        <w:t xml:space="preserve">, </w:t>
      </w:r>
      <w:r w:rsidR="00A30B59" w:rsidRPr="00421225">
        <w:rPr>
          <w:noProof/>
          <w:lang w:val="fr-FR"/>
        </w:rPr>
        <w:t>20</w:t>
      </w:r>
      <w:r w:rsidRPr="00421225">
        <w:rPr>
          <w:lang w:val="fr-FR"/>
        </w:rPr>
        <w:t xml:space="preserve"> et </w:t>
      </w:r>
      <w:r w:rsidR="00A30B59" w:rsidRPr="00421225">
        <w:rPr>
          <w:noProof/>
          <w:lang w:val="fr-FR"/>
        </w:rPr>
        <w:t>26</w:t>
      </w:r>
      <w:r w:rsidRPr="00421225">
        <w:rPr>
          <w:lang w:val="fr-FR"/>
        </w:rPr>
        <w:t xml:space="preserve"> ci-dessus). La cour d</w:t>
      </w:r>
      <w:r w:rsidR="00421225" w:rsidRPr="00421225">
        <w:rPr>
          <w:lang w:val="fr-FR"/>
        </w:rPr>
        <w:t>’</w:t>
      </w:r>
      <w:r w:rsidRPr="00421225">
        <w:rPr>
          <w:lang w:val="fr-FR"/>
        </w:rPr>
        <w:t>appel et la Cour de cassation ont exclu la possibilité d</w:t>
      </w:r>
      <w:r w:rsidR="00421225" w:rsidRPr="00421225">
        <w:rPr>
          <w:lang w:val="fr-FR"/>
        </w:rPr>
        <w:t>’</w:t>
      </w:r>
      <w:r w:rsidRPr="00421225">
        <w:rPr>
          <w:lang w:val="fr-FR"/>
        </w:rPr>
        <w:t>effectuer des recherches ultérieures à l</w:t>
      </w:r>
      <w:r w:rsidR="00421225" w:rsidRPr="00421225">
        <w:rPr>
          <w:lang w:val="fr-FR"/>
        </w:rPr>
        <w:t>’</w:t>
      </w:r>
      <w:r w:rsidRPr="00421225">
        <w:rPr>
          <w:lang w:val="fr-FR"/>
        </w:rPr>
        <w:t>étranger en observant que B était un homme né à Casablanca et dont l</w:t>
      </w:r>
      <w:r w:rsidR="00421225" w:rsidRPr="00421225">
        <w:rPr>
          <w:lang w:val="fr-FR"/>
        </w:rPr>
        <w:t>’</w:t>
      </w:r>
      <w:r w:rsidRPr="00421225">
        <w:rPr>
          <w:lang w:val="fr-FR"/>
        </w:rPr>
        <w:t xml:space="preserve">adresse au Maroc était inconnue (paragraphes </w:t>
      </w:r>
      <w:r w:rsidR="00A30B59" w:rsidRPr="00421225">
        <w:rPr>
          <w:noProof/>
          <w:lang w:val="fr-FR"/>
        </w:rPr>
        <w:t>21</w:t>
      </w:r>
      <w:r w:rsidRPr="00421225">
        <w:rPr>
          <w:lang w:val="fr-FR"/>
        </w:rPr>
        <w:t xml:space="preserve"> et </w:t>
      </w:r>
      <w:r w:rsidR="00A30B59" w:rsidRPr="00421225">
        <w:rPr>
          <w:noProof/>
          <w:lang w:val="fr-FR"/>
        </w:rPr>
        <w:t>26</w:t>
      </w:r>
      <w:r w:rsidR="00657CE1" w:rsidRPr="00421225">
        <w:rPr>
          <w:lang w:val="fr-FR"/>
        </w:rPr>
        <w:t xml:space="preserve"> ci-dessus).</w:t>
      </w:r>
    </w:p>
    <w:p w:rsidR="00FD47B3" w:rsidRPr="00421225" w:rsidRDefault="00FD47B3"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50</w:t>
      </w:r>
      <w:r w:rsidRPr="00421225">
        <w:rPr>
          <w:lang w:val="fr-FR"/>
        </w:rPr>
        <w:fldChar w:fldCharType="end"/>
      </w:r>
      <w:r w:rsidRPr="00421225">
        <w:rPr>
          <w:lang w:val="fr-FR"/>
        </w:rPr>
        <w:t xml:space="preserve">.  Aux yeux de la Cour, une telle exclusion aprioriste se concilie mal </w:t>
      </w:r>
      <w:r w:rsidR="0016611E" w:rsidRPr="00421225">
        <w:rPr>
          <w:lang w:val="fr-FR"/>
        </w:rPr>
        <w:t>avec l</w:t>
      </w:r>
      <w:r w:rsidR="00421225" w:rsidRPr="00421225">
        <w:rPr>
          <w:lang w:val="fr-FR"/>
        </w:rPr>
        <w:t>’</w:t>
      </w:r>
      <w:r w:rsidR="0016611E" w:rsidRPr="00421225">
        <w:rPr>
          <w:lang w:val="fr-FR"/>
        </w:rPr>
        <w:t>obligation des États contractants de prendre des mesures positives pour permettre à l</w:t>
      </w:r>
      <w:r w:rsidR="00421225" w:rsidRPr="00421225">
        <w:rPr>
          <w:lang w:val="fr-FR"/>
        </w:rPr>
        <w:t>’</w:t>
      </w:r>
      <w:r w:rsidR="0016611E" w:rsidRPr="00421225">
        <w:rPr>
          <w:lang w:val="fr-FR"/>
        </w:rPr>
        <w:t>accusé d</w:t>
      </w:r>
      <w:r w:rsidR="00421225" w:rsidRPr="00421225">
        <w:rPr>
          <w:lang w:val="fr-FR"/>
        </w:rPr>
        <w:t>’</w:t>
      </w:r>
      <w:r w:rsidR="0016611E" w:rsidRPr="00421225">
        <w:rPr>
          <w:lang w:val="fr-FR"/>
        </w:rPr>
        <w:t>interroger ou de faire interroger les témoins à charge. En particulier, la cour d</w:t>
      </w:r>
      <w:r w:rsidR="00421225" w:rsidRPr="00421225">
        <w:rPr>
          <w:lang w:val="fr-FR"/>
        </w:rPr>
        <w:t>’</w:t>
      </w:r>
      <w:r w:rsidR="0016611E" w:rsidRPr="00421225">
        <w:rPr>
          <w:lang w:val="fr-FR"/>
        </w:rPr>
        <w:t>appel et la Cour de cassation n</w:t>
      </w:r>
      <w:r w:rsidR="00421225" w:rsidRPr="00421225">
        <w:rPr>
          <w:lang w:val="fr-FR"/>
        </w:rPr>
        <w:t>’</w:t>
      </w:r>
      <w:r w:rsidR="0016611E" w:rsidRPr="00421225">
        <w:rPr>
          <w:lang w:val="fr-FR"/>
        </w:rPr>
        <w:t>ont pas indiqué les raisons pour lesquelles il s</w:t>
      </w:r>
      <w:r w:rsidR="00421225" w:rsidRPr="00421225">
        <w:rPr>
          <w:lang w:val="fr-FR"/>
        </w:rPr>
        <w:t>’</w:t>
      </w:r>
      <w:r w:rsidR="0016611E" w:rsidRPr="00421225">
        <w:rPr>
          <w:lang w:val="fr-FR"/>
        </w:rPr>
        <w:t>avérait impossible d</w:t>
      </w:r>
      <w:r w:rsidR="00421225" w:rsidRPr="00421225">
        <w:rPr>
          <w:lang w:val="fr-FR"/>
        </w:rPr>
        <w:t>’</w:t>
      </w:r>
      <w:r w:rsidR="0016611E" w:rsidRPr="00421225">
        <w:rPr>
          <w:lang w:val="fr-FR"/>
        </w:rPr>
        <w:t>avoir recours à l</w:t>
      </w:r>
      <w:r w:rsidR="00421225" w:rsidRPr="00421225">
        <w:rPr>
          <w:lang w:val="fr-FR"/>
        </w:rPr>
        <w:t>’</w:t>
      </w:r>
      <w:r w:rsidR="0016611E" w:rsidRPr="00421225">
        <w:rPr>
          <w:lang w:val="fr-FR"/>
        </w:rPr>
        <w:t>entraide judiciaire internationale pour contacter le témoin, qu</w:t>
      </w:r>
      <w:r w:rsidR="00421225" w:rsidRPr="00421225">
        <w:rPr>
          <w:lang w:val="fr-FR"/>
        </w:rPr>
        <w:t>’</w:t>
      </w:r>
      <w:r w:rsidR="0016611E" w:rsidRPr="00421225">
        <w:rPr>
          <w:lang w:val="fr-FR"/>
        </w:rPr>
        <w:t>elles présumaient être retourné au Maroc (voir, a contrario, Schatschaschwili, précité, §</w:t>
      </w:r>
      <w:r w:rsidR="00ED4966" w:rsidRPr="00421225">
        <w:rPr>
          <w:lang w:val="fr-FR"/>
        </w:rPr>
        <w:t>§ 136-140</w:t>
      </w:r>
      <w:r w:rsidR="0016611E" w:rsidRPr="00421225">
        <w:rPr>
          <w:lang w:val="fr-FR"/>
        </w:rPr>
        <w:t>, où la Cour a souligné que le tribunal régional de Göttingen avait pris contact avec les témoins résidant à l</w:t>
      </w:r>
      <w:r w:rsidR="00421225" w:rsidRPr="00421225">
        <w:rPr>
          <w:lang w:val="fr-FR"/>
        </w:rPr>
        <w:t>’</w:t>
      </w:r>
      <w:r w:rsidR="0016611E" w:rsidRPr="00421225">
        <w:rPr>
          <w:lang w:val="fr-FR"/>
        </w:rPr>
        <w:t>étranger pour leur proposer différentes options de nature à leur permettre de venir témoigner et, face à leur refus, avait eu recours à l</w:t>
      </w:r>
      <w:r w:rsidR="00421225" w:rsidRPr="00421225">
        <w:rPr>
          <w:lang w:val="fr-FR"/>
        </w:rPr>
        <w:t>’</w:t>
      </w:r>
      <w:r w:rsidR="0016611E" w:rsidRPr="00421225">
        <w:rPr>
          <w:lang w:val="fr-FR"/>
        </w:rPr>
        <w:t>entraide judiciaire internationale, demandant que les témoins en question fussent convoquées devant une juridiction lettone pour que le président du tribunal régional pût les entendre par vidéoconférence et pour permettre à la défense de les contre</w:t>
      </w:r>
      <w:r w:rsidR="00ED4966" w:rsidRPr="00421225">
        <w:rPr>
          <w:lang w:val="fr-FR"/>
        </w:rPr>
        <w:t>-</w:t>
      </w:r>
      <w:r w:rsidR="0016611E" w:rsidRPr="00421225">
        <w:rPr>
          <w:lang w:val="fr-FR"/>
        </w:rPr>
        <w:t>interroger</w:t>
      </w:r>
      <w:r w:rsidR="00ED4966" w:rsidRPr="00421225">
        <w:rPr>
          <w:lang w:val="fr-FR"/>
        </w:rPr>
        <w:t>)</w:t>
      </w:r>
      <w:r w:rsidR="0016611E" w:rsidRPr="00421225">
        <w:rPr>
          <w:lang w:val="fr-FR"/>
        </w:rPr>
        <w:t>.</w:t>
      </w:r>
      <w:r w:rsidR="00047D79" w:rsidRPr="00421225">
        <w:rPr>
          <w:lang w:val="fr-FR"/>
        </w:rPr>
        <w:t xml:space="preserve"> La circonstance, évoquée par le Gouvernement, qu</w:t>
      </w:r>
      <w:r w:rsidR="00421225" w:rsidRPr="00421225">
        <w:rPr>
          <w:lang w:val="fr-FR"/>
        </w:rPr>
        <w:t>’</w:t>
      </w:r>
      <w:r w:rsidR="00047D79" w:rsidRPr="00421225">
        <w:rPr>
          <w:lang w:val="fr-FR"/>
        </w:rPr>
        <w:t>aux termes de la Convention européenne d</w:t>
      </w:r>
      <w:r w:rsidR="00421225" w:rsidRPr="00421225">
        <w:rPr>
          <w:lang w:val="fr-FR"/>
        </w:rPr>
        <w:t>’</w:t>
      </w:r>
      <w:r w:rsidR="00047D79" w:rsidRPr="00421225">
        <w:rPr>
          <w:lang w:val="fr-FR"/>
        </w:rPr>
        <w:t>entraide judiciaire</w:t>
      </w:r>
      <w:r w:rsidR="00047D79" w:rsidRPr="00421225">
        <w:rPr>
          <w:rStyle w:val="Enfasigrassetto"/>
          <w:b w:val="0"/>
          <w:bCs w:val="0"/>
          <w:lang w:val="fr-FR"/>
        </w:rPr>
        <w:t xml:space="preserve"> </w:t>
      </w:r>
      <w:r w:rsidR="00047D79" w:rsidRPr="00421225">
        <w:rPr>
          <w:lang w:val="fr-FR"/>
        </w:rPr>
        <w:t>et de l</w:t>
      </w:r>
      <w:r w:rsidR="00421225" w:rsidRPr="00421225">
        <w:rPr>
          <w:lang w:val="fr-FR"/>
        </w:rPr>
        <w:t>’</w:t>
      </w:r>
      <w:r w:rsidR="00047D79" w:rsidRPr="00421225">
        <w:rPr>
          <w:lang w:val="fr-FR"/>
        </w:rPr>
        <w:t>accord bilatéral entre l</w:t>
      </w:r>
      <w:r w:rsidR="00421225" w:rsidRPr="00421225">
        <w:rPr>
          <w:lang w:val="fr-FR"/>
        </w:rPr>
        <w:t>’</w:t>
      </w:r>
      <w:r w:rsidR="00047D79" w:rsidRPr="00421225">
        <w:rPr>
          <w:lang w:val="fr-FR"/>
        </w:rPr>
        <w:t>Italie et le Royaume du Maroc, la demande de remise d</w:t>
      </w:r>
      <w:r w:rsidR="00421225" w:rsidRPr="00421225">
        <w:rPr>
          <w:lang w:val="fr-FR"/>
        </w:rPr>
        <w:t>’</w:t>
      </w:r>
      <w:r w:rsidR="00047D79" w:rsidRPr="00421225">
        <w:rPr>
          <w:lang w:val="fr-FR"/>
        </w:rPr>
        <w:t>actes de procédure doit indiquer l</w:t>
      </w:r>
      <w:r w:rsidR="00421225" w:rsidRPr="00421225">
        <w:rPr>
          <w:lang w:val="fr-FR"/>
        </w:rPr>
        <w:t>’</w:t>
      </w:r>
      <w:r w:rsidR="00047D79" w:rsidRPr="00421225">
        <w:rPr>
          <w:lang w:val="fr-FR"/>
        </w:rPr>
        <w:t xml:space="preserve">adresse du destinataire (paragraphe </w:t>
      </w:r>
      <w:r w:rsidR="00A30B59" w:rsidRPr="00421225">
        <w:rPr>
          <w:lang w:val="fr-FR"/>
        </w:rPr>
        <w:t>38</w:t>
      </w:r>
      <w:r w:rsidR="00047D79" w:rsidRPr="00421225">
        <w:rPr>
          <w:lang w:val="fr-FR"/>
        </w:rPr>
        <w:t xml:space="preserve"> ci-dessus) n</w:t>
      </w:r>
      <w:r w:rsidR="00421225" w:rsidRPr="00421225">
        <w:rPr>
          <w:lang w:val="fr-FR"/>
        </w:rPr>
        <w:t>’</w:t>
      </w:r>
      <w:r w:rsidR="00047D79" w:rsidRPr="00421225">
        <w:rPr>
          <w:lang w:val="fr-FR"/>
        </w:rPr>
        <w:t xml:space="preserve">a pas été mentionnée par les </w:t>
      </w:r>
      <w:r w:rsidR="001D52DC" w:rsidRPr="00421225">
        <w:rPr>
          <w:lang w:val="fr-FR"/>
        </w:rPr>
        <w:t>tribunaux internes. Au demeurant, la Cour n</w:t>
      </w:r>
      <w:r w:rsidR="00421225" w:rsidRPr="00421225">
        <w:rPr>
          <w:lang w:val="fr-FR"/>
        </w:rPr>
        <w:t>’</w:t>
      </w:r>
      <w:r w:rsidR="001D52DC" w:rsidRPr="00421225">
        <w:rPr>
          <w:lang w:val="fr-FR"/>
        </w:rPr>
        <w:t>est pas convaincue que la non-connaissance de l</w:t>
      </w:r>
      <w:r w:rsidR="00421225" w:rsidRPr="00421225">
        <w:rPr>
          <w:lang w:val="fr-FR"/>
        </w:rPr>
        <w:t>’</w:t>
      </w:r>
      <w:r w:rsidR="001D52DC" w:rsidRPr="00421225">
        <w:rPr>
          <w:lang w:val="fr-FR"/>
        </w:rPr>
        <w:t>adresse de B constituait un obstacle insurmontable, de nature à dispenser les autorités judiciaires italiennes de toute obligation d</w:t>
      </w:r>
      <w:r w:rsidR="00421225" w:rsidRPr="00421225">
        <w:rPr>
          <w:lang w:val="fr-FR"/>
        </w:rPr>
        <w:t>’</w:t>
      </w:r>
      <w:r w:rsidR="001D52DC" w:rsidRPr="00421225">
        <w:rPr>
          <w:lang w:val="fr-FR"/>
        </w:rPr>
        <w:t>essayer d</w:t>
      </w:r>
      <w:r w:rsidR="00421225" w:rsidRPr="00421225">
        <w:rPr>
          <w:lang w:val="fr-FR"/>
        </w:rPr>
        <w:t>’</w:t>
      </w:r>
      <w:r w:rsidR="001D52DC" w:rsidRPr="00421225">
        <w:rPr>
          <w:lang w:val="fr-FR"/>
        </w:rPr>
        <w:t>entrer en contact avec B par l</w:t>
      </w:r>
      <w:r w:rsidR="00421225" w:rsidRPr="00421225">
        <w:rPr>
          <w:lang w:val="fr-FR"/>
        </w:rPr>
        <w:t>’</w:t>
      </w:r>
      <w:r w:rsidR="001D52DC" w:rsidRPr="00421225">
        <w:rPr>
          <w:lang w:val="fr-FR"/>
        </w:rPr>
        <w:t>intermédiaire des autorités marocaines.</w:t>
      </w:r>
    </w:p>
    <w:p w:rsidR="00ED4966" w:rsidRPr="00421225" w:rsidRDefault="00ED4966" w:rsidP="00421225">
      <w:pPr>
        <w:pStyle w:val="ECHRPara"/>
        <w:rPr>
          <w:snapToGrid w:val="0"/>
          <w:lang w:val="fr-FR"/>
        </w:rPr>
      </w:pPr>
      <w:r w:rsidRPr="00421225">
        <w:rPr>
          <w:snapToGrid w:val="0"/>
          <w:lang w:val="fr-FR"/>
        </w:rPr>
        <w:fldChar w:fldCharType="begin"/>
      </w:r>
      <w:r w:rsidRPr="00421225">
        <w:rPr>
          <w:snapToGrid w:val="0"/>
          <w:lang w:val="fr-FR"/>
        </w:rPr>
        <w:instrText xml:space="preserve"> SEQ level0 \*arabic </w:instrText>
      </w:r>
      <w:r w:rsidRPr="00421225">
        <w:rPr>
          <w:snapToGrid w:val="0"/>
          <w:lang w:val="fr-FR"/>
        </w:rPr>
        <w:fldChar w:fldCharType="separate"/>
      </w:r>
      <w:r w:rsidR="00421225" w:rsidRPr="00421225">
        <w:rPr>
          <w:noProof/>
          <w:snapToGrid w:val="0"/>
          <w:lang w:val="fr-FR"/>
        </w:rPr>
        <w:t>51</w:t>
      </w:r>
      <w:r w:rsidRPr="00421225">
        <w:rPr>
          <w:snapToGrid w:val="0"/>
          <w:lang w:val="fr-FR"/>
        </w:rPr>
        <w:fldChar w:fldCharType="end"/>
      </w:r>
      <w:r w:rsidRPr="00421225">
        <w:rPr>
          <w:snapToGrid w:val="0"/>
          <w:lang w:val="fr-FR"/>
        </w:rPr>
        <w:t>.  Dans ces circonstances, la Cour estime que les juridictions italiennes n</w:t>
      </w:r>
      <w:r w:rsidR="00421225" w:rsidRPr="00421225">
        <w:rPr>
          <w:snapToGrid w:val="0"/>
          <w:lang w:val="fr-FR"/>
        </w:rPr>
        <w:t>’</w:t>
      </w:r>
      <w:r w:rsidRPr="00421225">
        <w:rPr>
          <w:snapToGrid w:val="0"/>
          <w:lang w:val="fr-FR"/>
        </w:rPr>
        <w:t>ont pas déployé tous les efforts que l</w:t>
      </w:r>
      <w:r w:rsidR="00421225" w:rsidRPr="00421225">
        <w:rPr>
          <w:snapToGrid w:val="0"/>
          <w:lang w:val="fr-FR"/>
        </w:rPr>
        <w:t>’</w:t>
      </w:r>
      <w:r w:rsidRPr="00421225">
        <w:rPr>
          <w:snapToGrid w:val="0"/>
          <w:lang w:val="fr-FR"/>
        </w:rPr>
        <w:t>on pouvait raisonnablement attendre d</w:t>
      </w:r>
      <w:r w:rsidR="00421225" w:rsidRPr="00421225">
        <w:rPr>
          <w:snapToGrid w:val="0"/>
          <w:lang w:val="fr-FR"/>
        </w:rPr>
        <w:t>’</w:t>
      </w:r>
      <w:r w:rsidRPr="00421225">
        <w:rPr>
          <w:snapToGrid w:val="0"/>
          <w:lang w:val="fr-FR"/>
        </w:rPr>
        <w:t>elles pour assurer la comparution de B</w:t>
      </w:r>
      <w:r w:rsidR="008355AB" w:rsidRPr="00421225">
        <w:rPr>
          <w:snapToGrid w:val="0"/>
          <w:lang w:val="fr-FR"/>
        </w:rPr>
        <w:t xml:space="preserve"> (voir, </w:t>
      </w:r>
      <w:r w:rsidR="008355AB" w:rsidRPr="00421225">
        <w:rPr>
          <w:i/>
          <w:snapToGrid w:val="0"/>
          <w:lang w:val="fr-FR"/>
        </w:rPr>
        <w:t>mutatis mutandis</w:t>
      </w:r>
      <w:r w:rsidR="008355AB" w:rsidRPr="00421225">
        <w:rPr>
          <w:snapToGrid w:val="0"/>
          <w:lang w:val="fr-FR"/>
        </w:rPr>
        <w:t>,</w:t>
      </w:r>
      <w:r w:rsidR="008355AB" w:rsidRPr="00421225">
        <w:rPr>
          <w:i/>
          <w:snapToGrid w:val="0"/>
          <w:lang w:val="fr-FR"/>
        </w:rPr>
        <w:t xml:space="preserve"> </w:t>
      </w:r>
      <w:r w:rsidR="008355AB" w:rsidRPr="00421225">
        <w:rPr>
          <w:i/>
          <w:iCs/>
          <w:szCs w:val="24"/>
          <w:lang w:val="fr-FR"/>
        </w:rPr>
        <w:lastRenderedPageBreak/>
        <w:t>Rudnichenko</w:t>
      </w:r>
      <w:r w:rsidR="008355AB" w:rsidRPr="00421225">
        <w:rPr>
          <w:iCs/>
          <w:szCs w:val="24"/>
          <w:lang w:val="fr-FR"/>
        </w:rPr>
        <w:t>,</w:t>
      </w:r>
      <w:r w:rsidR="008355AB" w:rsidRPr="00421225">
        <w:rPr>
          <w:i/>
          <w:iCs/>
          <w:szCs w:val="24"/>
          <w:lang w:val="fr-FR"/>
        </w:rPr>
        <w:t xml:space="preserve"> </w:t>
      </w:r>
      <w:r w:rsidR="001D52DC" w:rsidRPr="00421225">
        <w:rPr>
          <w:szCs w:val="24"/>
          <w:lang w:val="fr-FR"/>
        </w:rPr>
        <w:t>précité</w:t>
      </w:r>
      <w:r w:rsidR="008355AB" w:rsidRPr="00421225">
        <w:rPr>
          <w:szCs w:val="24"/>
          <w:lang w:val="fr-FR"/>
        </w:rPr>
        <w:t>, §</w:t>
      </w:r>
      <w:r w:rsidR="00920ECD" w:rsidRPr="00421225">
        <w:rPr>
          <w:szCs w:val="24"/>
          <w:lang w:val="fr-FR"/>
        </w:rPr>
        <w:t>§</w:t>
      </w:r>
      <w:r w:rsidR="008355AB" w:rsidRPr="00421225">
        <w:rPr>
          <w:szCs w:val="24"/>
          <w:lang w:val="fr-FR"/>
        </w:rPr>
        <w:t xml:space="preserve"> </w:t>
      </w:r>
      <w:r w:rsidR="00920ECD" w:rsidRPr="00421225">
        <w:rPr>
          <w:szCs w:val="24"/>
          <w:lang w:val="fr-FR"/>
        </w:rPr>
        <w:t>105-109</w:t>
      </w:r>
      <w:r w:rsidR="008355AB" w:rsidRPr="00421225">
        <w:rPr>
          <w:szCs w:val="24"/>
          <w:lang w:val="fr-FR" w:eastAsia="en-GB"/>
        </w:rPr>
        <w:t xml:space="preserve">, où la Cour </w:t>
      </w:r>
      <w:r w:rsidR="008355AB" w:rsidRPr="00421225">
        <w:rPr>
          <w:szCs w:val="24"/>
          <w:lang w:val="fr-FR"/>
        </w:rPr>
        <w:t>a conclu que la restriction apportée au droit du requérant de faire interroger un témoin absent ne reposait sur aucun motif, valable ou non, observant notamment qu</w:t>
      </w:r>
      <w:r w:rsidR="00421225" w:rsidRPr="00421225">
        <w:rPr>
          <w:szCs w:val="24"/>
          <w:lang w:val="fr-FR"/>
        </w:rPr>
        <w:t>’</w:t>
      </w:r>
      <w:r w:rsidR="008355AB" w:rsidRPr="00421225">
        <w:rPr>
          <w:szCs w:val="24"/>
          <w:lang w:val="fr-FR"/>
        </w:rPr>
        <w:t>aucune mesure n</w:t>
      </w:r>
      <w:r w:rsidR="00421225" w:rsidRPr="00421225">
        <w:rPr>
          <w:szCs w:val="24"/>
          <w:lang w:val="fr-FR"/>
        </w:rPr>
        <w:t>’</w:t>
      </w:r>
      <w:r w:rsidR="008355AB" w:rsidRPr="00421225">
        <w:rPr>
          <w:szCs w:val="24"/>
          <w:lang w:val="fr-FR"/>
        </w:rPr>
        <w:t>avait été prise pour faire en sorte que le témoin litigieux comparaisse et puisse être interrogé).</w:t>
      </w:r>
    </w:p>
    <w:p w:rsidR="00ED4966" w:rsidRPr="00421225" w:rsidRDefault="00ED4966"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52</w:t>
      </w:r>
      <w:r w:rsidRPr="00421225">
        <w:rPr>
          <w:lang w:val="fr-FR"/>
        </w:rPr>
        <w:fldChar w:fldCharType="end"/>
      </w:r>
      <w:r w:rsidRPr="00421225">
        <w:rPr>
          <w:lang w:val="fr-FR"/>
        </w:rPr>
        <w:t xml:space="preserve">.  Cependant, comme observé plus haut (paragraphe </w:t>
      </w:r>
      <w:r w:rsidR="00A30B59" w:rsidRPr="00421225">
        <w:rPr>
          <w:noProof/>
          <w:lang w:val="fr-FR"/>
        </w:rPr>
        <w:t>44</w:t>
      </w:r>
      <w:r w:rsidR="00352345" w:rsidRPr="00421225">
        <w:rPr>
          <w:lang w:val="fr-FR"/>
        </w:rPr>
        <w:t xml:space="preserve"> </w:t>
      </w:r>
      <w:r w:rsidRPr="00421225">
        <w:rPr>
          <w:lang w:val="fr-FR"/>
        </w:rPr>
        <w:t>ci-dessus), même si elle constitue un élément de poids pour apprécier l</w:t>
      </w:r>
      <w:r w:rsidR="00421225" w:rsidRPr="00421225">
        <w:rPr>
          <w:lang w:val="fr-FR"/>
        </w:rPr>
        <w:t>’</w:t>
      </w:r>
      <w:r w:rsidRPr="00421225">
        <w:rPr>
          <w:lang w:val="fr-FR"/>
        </w:rPr>
        <w:t>équité globale du procès, l</w:t>
      </w:r>
      <w:r w:rsidR="00421225" w:rsidRPr="00421225">
        <w:rPr>
          <w:lang w:val="fr-FR"/>
        </w:rPr>
        <w:t>’</w:t>
      </w:r>
      <w:r w:rsidRPr="00421225">
        <w:rPr>
          <w:lang w:val="fr-FR"/>
        </w:rPr>
        <w:t>absence de motif sérieux justifiant la non-comparution de B n</w:t>
      </w:r>
      <w:r w:rsidR="00421225" w:rsidRPr="00421225">
        <w:rPr>
          <w:lang w:val="fr-FR"/>
        </w:rPr>
        <w:t>’</w:t>
      </w:r>
      <w:r w:rsidRPr="00421225">
        <w:rPr>
          <w:lang w:val="fr-FR"/>
        </w:rPr>
        <w:t>est pas en soi constitutive d</w:t>
      </w:r>
      <w:r w:rsidR="00421225" w:rsidRPr="00421225">
        <w:rPr>
          <w:lang w:val="fr-FR"/>
        </w:rPr>
        <w:t>’</w:t>
      </w:r>
      <w:r w:rsidRPr="00421225">
        <w:rPr>
          <w:lang w:val="fr-FR"/>
        </w:rPr>
        <w:t>une violation de l</w:t>
      </w:r>
      <w:r w:rsidR="00421225" w:rsidRPr="00421225">
        <w:rPr>
          <w:lang w:val="fr-FR"/>
        </w:rPr>
        <w:t>’</w:t>
      </w:r>
      <w:r w:rsidRPr="00421225">
        <w:rPr>
          <w:lang w:val="fr-FR"/>
        </w:rPr>
        <w:t>article 6 de la Convention. La Cour examinera donc ultérieurement si sa déposition constituait le fondement unique ou déterminant de la condamnation du requérant et s</w:t>
      </w:r>
      <w:r w:rsidR="00421225" w:rsidRPr="00421225">
        <w:rPr>
          <w:lang w:val="fr-FR"/>
        </w:rPr>
        <w:t>’</w:t>
      </w:r>
      <w:r w:rsidRPr="00421225">
        <w:rPr>
          <w:lang w:val="fr-FR"/>
        </w:rPr>
        <w:t xml:space="preserve">il existait des éléments compensateurs suffisants pour contrebalancer les difficultés que </w:t>
      </w:r>
      <w:r w:rsidR="006406D1" w:rsidRPr="00421225">
        <w:rPr>
          <w:lang w:val="fr-FR"/>
        </w:rPr>
        <w:t>l</w:t>
      </w:r>
      <w:r w:rsidR="00421225" w:rsidRPr="00421225">
        <w:rPr>
          <w:lang w:val="fr-FR"/>
        </w:rPr>
        <w:t>’</w:t>
      </w:r>
      <w:r w:rsidR="006406D1" w:rsidRPr="00421225">
        <w:rPr>
          <w:lang w:val="fr-FR"/>
        </w:rPr>
        <w:t>impossibilité de contre-interroger ce témoin</w:t>
      </w:r>
      <w:r w:rsidRPr="00421225">
        <w:rPr>
          <w:lang w:val="fr-FR"/>
        </w:rPr>
        <w:t xml:space="preserve"> a causées à la défense.</w:t>
      </w:r>
    </w:p>
    <w:p w:rsidR="006B7FFC" w:rsidRPr="00421225" w:rsidRDefault="006B7FFC" w:rsidP="00421225">
      <w:pPr>
        <w:pStyle w:val="ECHRHeading5"/>
        <w:rPr>
          <w:lang w:val="fr-FR"/>
        </w:rPr>
      </w:pPr>
      <w:r w:rsidRPr="00421225">
        <w:rPr>
          <w:lang w:val="fr-FR"/>
        </w:rPr>
        <w:t>ii.  Sur le point de savoir si la déposition de B constituait le fondement unique ou déterminant de la condamnation</w:t>
      </w:r>
    </w:p>
    <w:p w:rsidR="00E77CB3" w:rsidRPr="00421225" w:rsidRDefault="006B4C8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53</w:t>
      </w:r>
      <w:r w:rsidRPr="00421225">
        <w:rPr>
          <w:lang w:val="fr-FR"/>
        </w:rPr>
        <w:fldChar w:fldCharType="end"/>
      </w:r>
      <w:r w:rsidR="00E77CB3" w:rsidRPr="00421225">
        <w:rPr>
          <w:lang w:val="fr-FR"/>
        </w:rPr>
        <w:t>.  </w:t>
      </w:r>
      <w:r w:rsidR="006406D1" w:rsidRPr="00421225">
        <w:rPr>
          <w:lang w:val="fr-FR"/>
        </w:rPr>
        <w:t>La Cour rappelle que lorsque, comme en l</w:t>
      </w:r>
      <w:r w:rsidR="00421225" w:rsidRPr="00421225">
        <w:rPr>
          <w:lang w:val="fr-FR"/>
        </w:rPr>
        <w:t>’</w:t>
      </w:r>
      <w:r w:rsidR="006406D1" w:rsidRPr="00421225">
        <w:rPr>
          <w:lang w:val="fr-FR"/>
        </w:rPr>
        <w:t>espèce, la déposition du témoin absent n</w:t>
      </w:r>
      <w:r w:rsidR="00421225" w:rsidRPr="00421225">
        <w:rPr>
          <w:lang w:val="fr-FR"/>
        </w:rPr>
        <w:t>’</w:t>
      </w:r>
      <w:r w:rsidR="006406D1" w:rsidRPr="00421225">
        <w:rPr>
          <w:lang w:val="fr-FR"/>
        </w:rPr>
        <w:t>est pas la seule preuve à charge de l</w:t>
      </w:r>
      <w:r w:rsidR="00421225" w:rsidRPr="00421225">
        <w:rPr>
          <w:lang w:val="fr-FR"/>
        </w:rPr>
        <w:t>’</w:t>
      </w:r>
      <w:r w:rsidR="006406D1" w:rsidRPr="00421225">
        <w:rPr>
          <w:lang w:val="fr-FR"/>
        </w:rPr>
        <w:t>accusé et est corroborée par d</w:t>
      </w:r>
      <w:r w:rsidR="00421225" w:rsidRPr="00421225">
        <w:rPr>
          <w:lang w:val="fr-FR"/>
        </w:rPr>
        <w:t>’</w:t>
      </w:r>
      <w:r w:rsidR="006406D1" w:rsidRPr="00421225">
        <w:rPr>
          <w:lang w:val="fr-FR"/>
        </w:rPr>
        <w:t xml:space="preserve">autres éléments, </w:t>
      </w:r>
      <w:r w:rsidR="006406D1" w:rsidRPr="00421225">
        <w:rPr>
          <w:szCs w:val="24"/>
          <w:lang w:val="fr-FR"/>
        </w:rPr>
        <w:t>l</w:t>
      </w:r>
      <w:r w:rsidR="00421225" w:rsidRPr="00421225">
        <w:rPr>
          <w:szCs w:val="24"/>
          <w:lang w:val="fr-FR"/>
        </w:rPr>
        <w:t>’</w:t>
      </w:r>
      <w:r w:rsidR="006406D1" w:rsidRPr="00421225">
        <w:rPr>
          <w:szCs w:val="24"/>
          <w:lang w:val="fr-FR"/>
        </w:rPr>
        <w:t>appréciation de son caractère déterminant dépendra de la force probante de ces autres éléments : plus celle-ci sera importante, moins la déposition du témoin absent sera susceptible d</w:t>
      </w:r>
      <w:r w:rsidR="00421225" w:rsidRPr="00421225">
        <w:rPr>
          <w:szCs w:val="24"/>
          <w:lang w:val="fr-FR"/>
        </w:rPr>
        <w:t>’</w:t>
      </w:r>
      <w:r w:rsidR="006406D1" w:rsidRPr="00421225">
        <w:rPr>
          <w:szCs w:val="24"/>
          <w:lang w:val="fr-FR"/>
        </w:rPr>
        <w:t>être considérée comme déterminante (</w:t>
      </w:r>
      <w:r w:rsidR="006406D1" w:rsidRPr="00421225">
        <w:rPr>
          <w:i/>
          <w:lang w:val="fr-FR"/>
        </w:rPr>
        <w:t>Al-Khawaja et Tahery</w:t>
      </w:r>
      <w:r w:rsidR="006406D1" w:rsidRPr="00421225">
        <w:rPr>
          <w:lang w:val="fr-FR"/>
        </w:rPr>
        <w:t>, précité,</w:t>
      </w:r>
      <w:r w:rsidR="006406D1" w:rsidRPr="00421225">
        <w:rPr>
          <w:szCs w:val="24"/>
          <w:lang w:val="fr-FR"/>
        </w:rPr>
        <w:t xml:space="preserve"> § 131). La Cour </w:t>
      </w:r>
      <w:r w:rsidR="00A7046D" w:rsidRPr="00421225">
        <w:rPr>
          <w:szCs w:val="24"/>
          <w:lang w:val="fr-FR"/>
        </w:rPr>
        <w:t xml:space="preserve">aura </w:t>
      </w:r>
      <w:r w:rsidR="006406D1" w:rsidRPr="00421225">
        <w:rPr>
          <w:szCs w:val="24"/>
          <w:lang w:val="fr-FR"/>
        </w:rPr>
        <w:t xml:space="preserve">égard </w:t>
      </w:r>
      <w:r w:rsidR="006406D1" w:rsidRPr="00421225">
        <w:rPr>
          <w:lang w:val="fr-FR"/>
        </w:rPr>
        <w:t>à l</w:t>
      </w:r>
      <w:r w:rsidR="00421225" w:rsidRPr="00421225">
        <w:rPr>
          <w:lang w:val="fr-FR"/>
        </w:rPr>
        <w:t>’</w:t>
      </w:r>
      <w:r w:rsidR="006406D1" w:rsidRPr="00421225">
        <w:rPr>
          <w:lang w:val="fr-FR"/>
        </w:rPr>
        <w:t>appréciation à laquelle se sont livrées les juridictions nationales</w:t>
      </w:r>
      <w:r w:rsidR="00A7046D" w:rsidRPr="00421225">
        <w:rPr>
          <w:lang w:val="fr-FR"/>
        </w:rPr>
        <w:t>, afin de</w:t>
      </w:r>
      <w:r w:rsidR="006406D1" w:rsidRPr="00421225">
        <w:rPr>
          <w:lang w:val="fr-FR"/>
        </w:rPr>
        <w:t xml:space="preserve"> s</w:t>
      </w:r>
      <w:r w:rsidR="00421225" w:rsidRPr="00421225">
        <w:rPr>
          <w:lang w:val="fr-FR"/>
        </w:rPr>
        <w:t>’</w:t>
      </w:r>
      <w:r w:rsidR="006406D1" w:rsidRPr="00421225">
        <w:rPr>
          <w:lang w:val="fr-FR"/>
        </w:rPr>
        <w:t>assurer que leur évaluation du poids de la preuve n</w:t>
      </w:r>
      <w:r w:rsidR="00421225" w:rsidRPr="00421225">
        <w:rPr>
          <w:lang w:val="fr-FR"/>
        </w:rPr>
        <w:t>’</w:t>
      </w:r>
      <w:r w:rsidR="006406D1" w:rsidRPr="00421225">
        <w:rPr>
          <w:lang w:val="fr-FR"/>
        </w:rPr>
        <w:t>était pas inacceptable ou arbitraire (</w:t>
      </w:r>
      <w:r w:rsidR="006406D1" w:rsidRPr="00421225">
        <w:rPr>
          <w:i/>
          <w:lang w:val="fr-FR"/>
        </w:rPr>
        <w:t>Schatschaschwili</w:t>
      </w:r>
      <w:r w:rsidR="00A30B59" w:rsidRPr="00421225">
        <w:rPr>
          <w:lang w:val="fr-FR"/>
        </w:rPr>
        <w:t>, précité, §§  </w:t>
      </w:r>
      <w:r w:rsidR="006406D1" w:rsidRPr="00421225">
        <w:rPr>
          <w:lang w:val="fr-FR"/>
        </w:rPr>
        <w:t>124 et 141).</w:t>
      </w:r>
    </w:p>
    <w:p w:rsidR="006406D1" w:rsidRPr="00421225" w:rsidRDefault="006406D1"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54</w:t>
      </w:r>
      <w:r w:rsidRPr="00421225">
        <w:rPr>
          <w:lang w:val="fr-FR"/>
        </w:rPr>
        <w:fldChar w:fldCharType="end"/>
      </w:r>
      <w:r w:rsidRPr="00421225">
        <w:rPr>
          <w:lang w:val="fr-FR"/>
        </w:rPr>
        <w:t>.  </w:t>
      </w:r>
      <w:r w:rsidR="00C1789B" w:rsidRPr="00421225">
        <w:rPr>
          <w:lang w:val="fr-FR"/>
        </w:rPr>
        <w:t>La Cour constate que le seul témoin oculaire du viol perpétré par le requérant était la victime des infractions, A. Selon la déposition de cette dernière, B s</w:t>
      </w:r>
      <w:r w:rsidR="00421225" w:rsidRPr="00421225">
        <w:rPr>
          <w:lang w:val="fr-FR"/>
        </w:rPr>
        <w:t>’</w:t>
      </w:r>
      <w:r w:rsidR="00C1789B" w:rsidRPr="00421225">
        <w:rPr>
          <w:lang w:val="fr-FR"/>
        </w:rPr>
        <w:t>était éloigné au moment de la commission du viol (paragraphe</w:t>
      </w:r>
      <w:r w:rsidR="00EB1066" w:rsidRPr="00421225">
        <w:rPr>
          <w:lang w:val="fr-FR"/>
        </w:rPr>
        <w:t> </w:t>
      </w:r>
      <w:r w:rsidR="00A30B59" w:rsidRPr="00421225">
        <w:rPr>
          <w:noProof/>
          <w:lang w:val="fr-FR"/>
        </w:rPr>
        <w:t>6</w:t>
      </w:r>
      <w:r w:rsidR="00C1789B" w:rsidRPr="00421225">
        <w:rPr>
          <w:lang w:val="fr-FR"/>
        </w:rPr>
        <w:t xml:space="preserve"> ci-dessus), ce qui a été confirmé par l</w:t>
      </w:r>
      <w:r w:rsidR="00421225" w:rsidRPr="00421225">
        <w:rPr>
          <w:lang w:val="fr-FR"/>
        </w:rPr>
        <w:t>’</w:t>
      </w:r>
      <w:r w:rsidR="00C1789B" w:rsidRPr="00421225">
        <w:rPr>
          <w:lang w:val="fr-FR"/>
        </w:rPr>
        <w:t xml:space="preserve">intéressé </w:t>
      </w:r>
      <w:r w:rsidR="00EB1066" w:rsidRPr="00421225">
        <w:rPr>
          <w:lang w:val="fr-FR"/>
        </w:rPr>
        <w:t xml:space="preserve">lui-même </w:t>
      </w:r>
      <w:r w:rsidR="00C1789B" w:rsidRPr="00421225">
        <w:rPr>
          <w:lang w:val="fr-FR"/>
        </w:rPr>
        <w:t>lors de son interrogatoire devant les carabiniers de Lesina. B a en effet déclaré qu</w:t>
      </w:r>
      <w:r w:rsidR="00421225" w:rsidRPr="00421225">
        <w:rPr>
          <w:lang w:val="fr-FR"/>
        </w:rPr>
        <w:t>’</w:t>
      </w:r>
      <w:r w:rsidR="00C1789B" w:rsidRPr="00421225">
        <w:rPr>
          <w:lang w:val="fr-FR"/>
        </w:rPr>
        <w:t>il était sorti du véhicule où le viol a eu lieu et qu</w:t>
      </w:r>
      <w:r w:rsidR="00421225" w:rsidRPr="00421225">
        <w:rPr>
          <w:lang w:val="fr-FR"/>
        </w:rPr>
        <w:t>’</w:t>
      </w:r>
      <w:r w:rsidR="00C1789B" w:rsidRPr="00421225">
        <w:rPr>
          <w:lang w:val="fr-FR"/>
        </w:rPr>
        <w:t>il n</w:t>
      </w:r>
      <w:r w:rsidR="00421225" w:rsidRPr="00421225">
        <w:rPr>
          <w:lang w:val="fr-FR"/>
        </w:rPr>
        <w:t>’</w:t>
      </w:r>
      <w:r w:rsidR="00C1789B" w:rsidRPr="00421225">
        <w:rPr>
          <w:lang w:val="fr-FR"/>
        </w:rPr>
        <w:t>avait pas pu voir ce qui se passait à l</w:t>
      </w:r>
      <w:r w:rsidR="00421225" w:rsidRPr="00421225">
        <w:rPr>
          <w:lang w:val="fr-FR"/>
        </w:rPr>
        <w:t>’</w:t>
      </w:r>
      <w:r w:rsidR="00C1789B" w:rsidRPr="00421225">
        <w:rPr>
          <w:lang w:val="fr-FR"/>
        </w:rPr>
        <w:t>intérieur. En revanche, B avait assisté aux avances sexuelles explicites du requérant et à ses actions violentes à l</w:t>
      </w:r>
      <w:r w:rsidR="00421225" w:rsidRPr="00421225">
        <w:rPr>
          <w:lang w:val="fr-FR"/>
        </w:rPr>
        <w:t>’</w:t>
      </w:r>
      <w:r w:rsidR="00C1789B" w:rsidRPr="00421225">
        <w:rPr>
          <w:lang w:val="fr-FR"/>
        </w:rPr>
        <w:t>encontre de A. En outre</w:t>
      </w:r>
      <w:r w:rsidR="00EB1066" w:rsidRPr="00421225">
        <w:rPr>
          <w:lang w:val="fr-FR"/>
        </w:rPr>
        <w:t>, une fois remonté en voiture, B avait vu que A pleurait</w:t>
      </w:r>
      <w:r w:rsidR="00C1789B" w:rsidRPr="00421225">
        <w:rPr>
          <w:lang w:val="fr-FR"/>
        </w:rPr>
        <w:t xml:space="preserve"> (paragraphe</w:t>
      </w:r>
      <w:r w:rsidR="00EB1066" w:rsidRPr="00421225">
        <w:rPr>
          <w:lang w:val="fr-FR"/>
        </w:rPr>
        <w:t> </w:t>
      </w:r>
      <w:r w:rsidR="00A30B59" w:rsidRPr="00421225">
        <w:rPr>
          <w:noProof/>
          <w:lang w:val="fr-FR"/>
        </w:rPr>
        <w:t>7</w:t>
      </w:r>
      <w:r w:rsidR="00D16363" w:rsidRPr="00421225">
        <w:rPr>
          <w:lang w:val="fr-FR"/>
        </w:rPr>
        <w:t xml:space="preserve"> ci</w:t>
      </w:r>
      <w:r w:rsidR="00D16363" w:rsidRPr="00421225">
        <w:rPr>
          <w:lang w:val="fr-FR"/>
        </w:rPr>
        <w:noBreakHyphen/>
      </w:r>
      <w:r w:rsidR="00C1789B" w:rsidRPr="00421225">
        <w:rPr>
          <w:lang w:val="fr-FR"/>
        </w:rPr>
        <w:t>dessus)</w:t>
      </w:r>
      <w:r w:rsidR="00EB1066" w:rsidRPr="00421225">
        <w:rPr>
          <w:lang w:val="fr-FR"/>
        </w:rPr>
        <w:t xml:space="preserve">. Dans ces circonstances, la Cour ne saurait considérer comme arbitraire </w:t>
      </w:r>
      <w:r w:rsidR="009265C4" w:rsidRPr="00421225">
        <w:rPr>
          <w:lang w:val="fr-FR"/>
        </w:rPr>
        <w:t>l</w:t>
      </w:r>
      <w:r w:rsidR="00421225" w:rsidRPr="00421225">
        <w:rPr>
          <w:lang w:val="fr-FR"/>
        </w:rPr>
        <w:t>’</w:t>
      </w:r>
      <w:r w:rsidR="009265C4" w:rsidRPr="00421225">
        <w:rPr>
          <w:lang w:val="fr-FR"/>
        </w:rPr>
        <w:t>évaluation</w:t>
      </w:r>
      <w:r w:rsidR="00EB1066" w:rsidRPr="00421225">
        <w:rPr>
          <w:lang w:val="fr-FR"/>
        </w:rPr>
        <w:t xml:space="preserve"> des tribunaux </w:t>
      </w:r>
      <w:r w:rsidR="00425BCA" w:rsidRPr="00421225">
        <w:rPr>
          <w:lang w:val="fr-FR"/>
        </w:rPr>
        <w:t>italiens</w:t>
      </w:r>
      <w:r w:rsidR="00EB1066" w:rsidRPr="00421225">
        <w:rPr>
          <w:lang w:val="fr-FR"/>
        </w:rPr>
        <w:t xml:space="preserve"> selon laquelle </w:t>
      </w:r>
      <w:r w:rsidR="00425BCA" w:rsidRPr="00421225">
        <w:rPr>
          <w:lang w:val="fr-FR"/>
        </w:rPr>
        <w:t>les déclarations de B n</w:t>
      </w:r>
      <w:r w:rsidR="00421225" w:rsidRPr="00421225">
        <w:rPr>
          <w:lang w:val="fr-FR"/>
        </w:rPr>
        <w:t>’</w:t>
      </w:r>
      <w:r w:rsidR="00425BCA" w:rsidRPr="00421225">
        <w:rPr>
          <w:lang w:val="fr-FR"/>
        </w:rPr>
        <w:t>étaient qu</w:t>
      </w:r>
      <w:r w:rsidR="00421225" w:rsidRPr="00421225">
        <w:rPr>
          <w:lang w:val="fr-FR"/>
        </w:rPr>
        <w:t>’</w:t>
      </w:r>
      <w:r w:rsidR="00425BCA" w:rsidRPr="00421225">
        <w:rPr>
          <w:lang w:val="fr-FR"/>
        </w:rPr>
        <w:t xml:space="preserve">un élément qui corroborait la preuve principale, à savoir le témoignage de A (paragraphes </w:t>
      </w:r>
      <w:r w:rsidR="00A30B59" w:rsidRPr="00421225">
        <w:rPr>
          <w:noProof/>
          <w:lang w:val="fr-FR"/>
        </w:rPr>
        <w:t>15</w:t>
      </w:r>
      <w:r w:rsidR="00A7046D" w:rsidRPr="00421225">
        <w:rPr>
          <w:lang w:val="fr-FR"/>
        </w:rPr>
        <w:t xml:space="preserve">, </w:t>
      </w:r>
      <w:r w:rsidR="00A30B59" w:rsidRPr="00421225">
        <w:rPr>
          <w:noProof/>
          <w:lang w:val="fr-FR"/>
        </w:rPr>
        <w:t>22</w:t>
      </w:r>
      <w:r w:rsidR="00A7046D" w:rsidRPr="00421225">
        <w:rPr>
          <w:lang w:val="fr-FR"/>
        </w:rPr>
        <w:t xml:space="preserve"> et </w:t>
      </w:r>
      <w:r w:rsidR="00A30B59" w:rsidRPr="00421225">
        <w:rPr>
          <w:noProof/>
          <w:lang w:val="fr-FR"/>
        </w:rPr>
        <w:t>27</w:t>
      </w:r>
      <w:r w:rsidR="00520535" w:rsidRPr="00421225">
        <w:rPr>
          <w:lang w:val="fr-FR"/>
        </w:rPr>
        <w:t xml:space="preserve"> ci</w:t>
      </w:r>
      <w:r w:rsidR="00520535" w:rsidRPr="00421225">
        <w:rPr>
          <w:lang w:val="fr-FR"/>
        </w:rPr>
        <w:noBreakHyphen/>
      </w:r>
      <w:r w:rsidR="00425BCA" w:rsidRPr="00421225">
        <w:rPr>
          <w:lang w:val="fr-FR"/>
        </w:rPr>
        <w:t xml:space="preserve">dessus). </w:t>
      </w:r>
      <w:r w:rsidR="00A7046D" w:rsidRPr="00421225">
        <w:rPr>
          <w:lang w:val="fr-FR"/>
        </w:rPr>
        <w:t>De plus</w:t>
      </w:r>
      <w:r w:rsidR="00425BCA" w:rsidRPr="00421225">
        <w:rPr>
          <w:lang w:val="fr-FR"/>
        </w:rPr>
        <w:t>, il ne s</w:t>
      </w:r>
      <w:r w:rsidR="00421225" w:rsidRPr="00421225">
        <w:rPr>
          <w:lang w:val="fr-FR"/>
        </w:rPr>
        <w:t>’</w:t>
      </w:r>
      <w:r w:rsidR="00425BCA" w:rsidRPr="00421225">
        <w:rPr>
          <w:lang w:val="fr-FR"/>
        </w:rPr>
        <w:t>agissait</w:t>
      </w:r>
      <w:r w:rsidR="009265C4" w:rsidRPr="00421225">
        <w:rPr>
          <w:lang w:val="fr-FR"/>
        </w:rPr>
        <w:t xml:space="preserve"> </w:t>
      </w:r>
      <w:r w:rsidR="00425BCA" w:rsidRPr="00421225">
        <w:rPr>
          <w:lang w:val="fr-FR"/>
        </w:rPr>
        <w:t>pas d</w:t>
      </w:r>
      <w:r w:rsidR="00421225" w:rsidRPr="00421225">
        <w:rPr>
          <w:lang w:val="fr-FR"/>
        </w:rPr>
        <w:t>’</w:t>
      </w:r>
      <w:r w:rsidR="00425BCA" w:rsidRPr="00421225">
        <w:rPr>
          <w:lang w:val="fr-FR"/>
        </w:rPr>
        <w:t xml:space="preserve">un élément corroboratif exclusif, les juridictions italiennes ayant souligné que la version de A était confirmée </w:t>
      </w:r>
      <w:r w:rsidR="00777FD0" w:rsidRPr="00421225">
        <w:rPr>
          <w:lang w:val="fr-FR"/>
        </w:rPr>
        <w:t xml:space="preserve">aussi par les déclarations du </w:t>
      </w:r>
      <w:r w:rsidR="00425BCA" w:rsidRPr="00421225">
        <w:rPr>
          <w:lang w:val="fr-FR"/>
        </w:rPr>
        <w:t xml:space="preserve">carabinier ayant recueilli sa plainte, qui avait </w:t>
      </w:r>
      <w:r w:rsidR="00425BCA" w:rsidRPr="00421225">
        <w:rPr>
          <w:lang w:val="fr-FR"/>
        </w:rPr>
        <w:lastRenderedPageBreak/>
        <w:t xml:space="preserve">pu constater que la victime était en état de choc et se plaignait de douleurs abdominales (paragraphes </w:t>
      </w:r>
      <w:r w:rsidR="00A30B59" w:rsidRPr="00421225">
        <w:rPr>
          <w:noProof/>
          <w:lang w:val="fr-FR"/>
        </w:rPr>
        <w:t>17</w:t>
      </w:r>
      <w:r w:rsidR="00A7046D" w:rsidRPr="00421225">
        <w:rPr>
          <w:lang w:val="fr-FR"/>
        </w:rPr>
        <w:t xml:space="preserve">, </w:t>
      </w:r>
      <w:r w:rsidR="00A30B59" w:rsidRPr="00421225">
        <w:rPr>
          <w:noProof/>
          <w:lang w:val="fr-FR"/>
        </w:rPr>
        <w:t>23</w:t>
      </w:r>
      <w:r w:rsidR="00A7046D" w:rsidRPr="00421225">
        <w:rPr>
          <w:lang w:val="fr-FR"/>
        </w:rPr>
        <w:t xml:space="preserve"> et </w:t>
      </w:r>
      <w:r w:rsidR="00A30B59" w:rsidRPr="00421225">
        <w:rPr>
          <w:noProof/>
          <w:lang w:val="fr-FR"/>
        </w:rPr>
        <w:t>27</w:t>
      </w:r>
      <w:r w:rsidR="00425BCA" w:rsidRPr="00421225">
        <w:rPr>
          <w:lang w:val="fr-FR"/>
        </w:rPr>
        <w:t xml:space="preserve"> ci-dessus).</w:t>
      </w:r>
    </w:p>
    <w:p w:rsidR="00C375DE" w:rsidRPr="00421225" w:rsidRDefault="00C375DE"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55</w:t>
      </w:r>
      <w:r w:rsidRPr="00421225">
        <w:rPr>
          <w:lang w:val="fr-FR"/>
        </w:rPr>
        <w:fldChar w:fldCharType="end"/>
      </w:r>
      <w:r w:rsidRPr="00421225">
        <w:rPr>
          <w:lang w:val="fr-FR"/>
        </w:rPr>
        <w:t>.  Dans ces conditions, la Cour estime que la déposition du témoin absent n</w:t>
      </w:r>
      <w:r w:rsidR="00421225" w:rsidRPr="00421225">
        <w:rPr>
          <w:lang w:val="fr-FR"/>
        </w:rPr>
        <w:t>’</w:t>
      </w:r>
      <w:r w:rsidRPr="00421225">
        <w:rPr>
          <w:lang w:val="fr-FR"/>
        </w:rPr>
        <w:t>était pas « déterminante », c</w:t>
      </w:r>
      <w:r w:rsidR="00421225" w:rsidRPr="00421225">
        <w:rPr>
          <w:lang w:val="fr-FR"/>
        </w:rPr>
        <w:t>’</w:t>
      </w:r>
      <w:r w:rsidRPr="00421225">
        <w:rPr>
          <w:lang w:val="fr-FR"/>
        </w:rPr>
        <w:t>est-à-dire susceptible d</w:t>
      </w:r>
      <w:r w:rsidR="00421225" w:rsidRPr="00421225">
        <w:rPr>
          <w:lang w:val="fr-FR"/>
        </w:rPr>
        <w:t>’</w:t>
      </w:r>
      <w:r w:rsidRPr="00421225">
        <w:rPr>
          <w:lang w:val="fr-FR"/>
        </w:rPr>
        <w:t>emporter la décision sur l</w:t>
      </w:r>
      <w:r w:rsidR="00421225" w:rsidRPr="00421225">
        <w:rPr>
          <w:lang w:val="fr-FR"/>
        </w:rPr>
        <w:t>’</w:t>
      </w:r>
      <w:r w:rsidRPr="00421225">
        <w:rPr>
          <w:lang w:val="fr-FR"/>
        </w:rPr>
        <w:t xml:space="preserve">affaire (voir, </w:t>
      </w:r>
      <w:r w:rsidRPr="00421225">
        <w:rPr>
          <w:i/>
          <w:lang w:val="fr-FR"/>
        </w:rPr>
        <w:t>a contrario</w:t>
      </w:r>
      <w:r w:rsidRPr="00421225">
        <w:rPr>
          <w:lang w:val="fr-FR"/>
        </w:rPr>
        <w:t>,</w:t>
      </w:r>
      <w:r w:rsidRPr="00421225">
        <w:rPr>
          <w:i/>
          <w:lang w:val="fr-FR"/>
        </w:rPr>
        <w:t xml:space="preserve"> Schatschaschwili</w:t>
      </w:r>
      <w:r w:rsidR="00520535" w:rsidRPr="00421225">
        <w:rPr>
          <w:lang w:val="fr-FR"/>
        </w:rPr>
        <w:t>, précité, §§ 141</w:t>
      </w:r>
      <w:r w:rsidR="00520535" w:rsidRPr="00421225">
        <w:rPr>
          <w:lang w:val="fr-FR"/>
        </w:rPr>
        <w:noBreakHyphen/>
      </w:r>
      <w:r w:rsidRPr="00421225">
        <w:rPr>
          <w:lang w:val="fr-FR"/>
        </w:rPr>
        <w:t>144).</w:t>
      </w:r>
    </w:p>
    <w:p w:rsidR="006B7FFC" w:rsidRPr="00421225" w:rsidRDefault="006B7FFC" w:rsidP="00421225">
      <w:pPr>
        <w:pStyle w:val="ECHRHeading5"/>
        <w:rPr>
          <w:lang w:val="fr-FR"/>
        </w:rPr>
      </w:pPr>
      <w:r w:rsidRPr="00421225">
        <w:rPr>
          <w:lang w:val="fr-FR"/>
        </w:rPr>
        <w:t>iii.  Sur le point de savoir s</w:t>
      </w:r>
      <w:r w:rsidR="00421225" w:rsidRPr="00421225">
        <w:rPr>
          <w:lang w:val="fr-FR"/>
        </w:rPr>
        <w:t>’</w:t>
      </w:r>
      <w:r w:rsidRPr="00421225">
        <w:rPr>
          <w:lang w:val="fr-FR"/>
        </w:rPr>
        <w:t>il existait des éléments compensateurs suffisants pour contrebalancer les difficultés causées à la défense</w:t>
      </w:r>
    </w:p>
    <w:p w:rsidR="006B7FFC" w:rsidRPr="00421225" w:rsidRDefault="006B7FFC"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56</w:t>
      </w:r>
      <w:r w:rsidRPr="00421225">
        <w:rPr>
          <w:lang w:val="fr-FR"/>
        </w:rPr>
        <w:fldChar w:fldCharType="end"/>
      </w:r>
      <w:r w:rsidRPr="00421225">
        <w:rPr>
          <w:lang w:val="fr-FR"/>
        </w:rPr>
        <w:t>.  </w:t>
      </w:r>
      <w:r w:rsidR="00D31D00" w:rsidRPr="00421225">
        <w:rPr>
          <w:lang w:val="fr-FR"/>
        </w:rPr>
        <w:t>La Cour rappelle que les éléments compensateurs doivent permettre une appréciation correcte et équitable de la fiabilité du témoignage non vérifié (</w:t>
      </w:r>
      <w:r w:rsidR="00D31D00" w:rsidRPr="00421225">
        <w:rPr>
          <w:i/>
          <w:lang w:val="fr-FR"/>
        </w:rPr>
        <w:t>Al-Khawaja et Tahery</w:t>
      </w:r>
      <w:r w:rsidR="00D31D00" w:rsidRPr="00421225">
        <w:rPr>
          <w:lang w:val="fr-FR"/>
        </w:rPr>
        <w:t xml:space="preserve">, précité, § 147, et </w:t>
      </w:r>
      <w:r w:rsidR="00D31D00" w:rsidRPr="00421225">
        <w:rPr>
          <w:i/>
          <w:lang w:val="fr-FR"/>
        </w:rPr>
        <w:t>Schatschaschwili</w:t>
      </w:r>
      <w:r w:rsidR="00D31D00" w:rsidRPr="00421225">
        <w:rPr>
          <w:lang w:val="fr-FR"/>
        </w:rPr>
        <w:t>, précité, § 125)</w:t>
      </w:r>
      <w:r w:rsidR="00B00AE8" w:rsidRPr="00421225">
        <w:rPr>
          <w:lang w:val="fr-FR"/>
        </w:rPr>
        <w:t xml:space="preserve">. Notamment, une garantie importante est constituée par le fait que les juridictions internes, conscientes de la valeur réduite des déclarations du témoin absent, se penchent sur elles avec prudence (comparer avec </w:t>
      </w:r>
      <w:r w:rsidR="00B00AE8" w:rsidRPr="00421225">
        <w:rPr>
          <w:i/>
          <w:snapToGrid w:val="0"/>
          <w:lang w:val="fr-FR"/>
        </w:rPr>
        <w:t>Bobeş c. Roumanie</w:t>
      </w:r>
      <w:r w:rsidR="00B00AE8" w:rsidRPr="00421225">
        <w:rPr>
          <w:snapToGrid w:val="0"/>
          <w:lang w:val="fr-FR"/>
        </w:rPr>
        <w:t>, n</w:t>
      </w:r>
      <w:r w:rsidR="00B00AE8" w:rsidRPr="00421225">
        <w:rPr>
          <w:snapToGrid w:val="0"/>
          <w:vertAlign w:val="superscript"/>
          <w:lang w:val="fr-FR"/>
        </w:rPr>
        <w:t>o</w:t>
      </w:r>
      <w:r w:rsidR="00B00AE8" w:rsidRPr="00421225">
        <w:rPr>
          <w:snapToGrid w:val="0"/>
          <w:lang w:val="fr-FR"/>
        </w:rPr>
        <w:t xml:space="preserve"> 29752/05, § 46, 9</w:t>
      </w:r>
      <w:r w:rsidR="00657CE1" w:rsidRPr="00421225">
        <w:rPr>
          <w:snapToGrid w:val="0"/>
          <w:lang w:val="fr-FR"/>
        </w:rPr>
        <w:t xml:space="preserve"> </w:t>
      </w:r>
      <w:r w:rsidR="00B00AE8" w:rsidRPr="00421225">
        <w:rPr>
          <w:snapToGrid w:val="0"/>
          <w:lang w:val="fr-FR"/>
        </w:rPr>
        <w:t xml:space="preserve">juillet 2013, et </w:t>
      </w:r>
      <w:r w:rsidR="00B00AE8" w:rsidRPr="00421225">
        <w:rPr>
          <w:i/>
          <w:lang w:val="fr-FR"/>
        </w:rPr>
        <w:t>Brzuszczyński c. Pologne</w:t>
      </w:r>
      <w:r w:rsidR="00B00AE8" w:rsidRPr="00421225">
        <w:rPr>
          <w:lang w:val="fr-FR"/>
        </w:rPr>
        <w:t>, n</w:t>
      </w:r>
      <w:r w:rsidR="00B00AE8" w:rsidRPr="00421225">
        <w:rPr>
          <w:vertAlign w:val="superscript"/>
          <w:lang w:val="fr-FR"/>
        </w:rPr>
        <w:t>o</w:t>
      </w:r>
      <w:r w:rsidR="00B00AE8" w:rsidRPr="00421225">
        <w:rPr>
          <w:lang w:val="fr-FR"/>
        </w:rPr>
        <w:t> 23789/09</w:t>
      </w:r>
      <w:r w:rsidR="00B00AE8" w:rsidRPr="00421225">
        <w:rPr>
          <w:snapToGrid w:val="0"/>
          <w:lang w:val="fr-FR"/>
        </w:rPr>
        <w:t xml:space="preserve">, §§ 85-86, 17 </w:t>
      </w:r>
      <w:r w:rsidR="00B00AE8" w:rsidRPr="00421225">
        <w:rPr>
          <w:lang w:val="fr-FR"/>
        </w:rPr>
        <w:t>septembre</w:t>
      </w:r>
      <w:r w:rsidR="00B00AE8" w:rsidRPr="00421225">
        <w:rPr>
          <w:snapToGrid w:val="0"/>
          <w:lang w:val="fr-FR"/>
        </w:rPr>
        <w:t xml:space="preserve"> 2013). Une autre garantie de grand poids est la production au procès d</w:t>
      </w:r>
      <w:r w:rsidR="00421225" w:rsidRPr="00421225">
        <w:rPr>
          <w:snapToGrid w:val="0"/>
          <w:lang w:val="fr-FR"/>
        </w:rPr>
        <w:t>’</w:t>
      </w:r>
      <w:r w:rsidR="00B00AE8" w:rsidRPr="00421225">
        <w:rPr>
          <w:snapToGrid w:val="0"/>
          <w:lang w:val="fr-FR"/>
        </w:rPr>
        <w:t xml:space="preserve">éléments de preuve, par exemple des données médicolégales, venant corroborer la déposition non vérifiée. </w:t>
      </w:r>
      <w:r w:rsidR="00B00AE8" w:rsidRPr="00421225">
        <w:rPr>
          <w:lang w:val="fr-FR"/>
        </w:rPr>
        <w:t>La Cour a en outre considéré comme un facteur important venant à l</w:t>
      </w:r>
      <w:r w:rsidR="00421225" w:rsidRPr="00421225">
        <w:rPr>
          <w:lang w:val="fr-FR"/>
        </w:rPr>
        <w:t>’</w:t>
      </w:r>
      <w:r w:rsidR="00B00AE8" w:rsidRPr="00421225">
        <w:rPr>
          <w:lang w:val="fr-FR"/>
        </w:rPr>
        <w:t>appui de la déposition d</w:t>
      </w:r>
      <w:r w:rsidR="00421225" w:rsidRPr="00421225">
        <w:rPr>
          <w:lang w:val="fr-FR"/>
        </w:rPr>
        <w:t>’</w:t>
      </w:r>
      <w:r w:rsidR="00B00AE8" w:rsidRPr="00421225">
        <w:rPr>
          <w:lang w:val="fr-FR"/>
        </w:rPr>
        <w:t>un témoin absent l</w:t>
      </w:r>
      <w:r w:rsidR="00421225" w:rsidRPr="00421225">
        <w:rPr>
          <w:lang w:val="fr-FR"/>
        </w:rPr>
        <w:t>’</w:t>
      </w:r>
      <w:r w:rsidR="00B00AE8" w:rsidRPr="00421225">
        <w:rPr>
          <w:lang w:val="fr-FR"/>
        </w:rPr>
        <w:t>existence de fortes similitudes entre la description faite par le témoin absent de l</w:t>
      </w:r>
      <w:r w:rsidR="00421225" w:rsidRPr="00421225">
        <w:rPr>
          <w:lang w:val="fr-FR"/>
        </w:rPr>
        <w:t>’</w:t>
      </w:r>
      <w:r w:rsidR="00B00AE8" w:rsidRPr="00421225">
        <w:rPr>
          <w:lang w:val="fr-FR"/>
        </w:rPr>
        <w:t>infraction qu</w:t>
      </w:r>
      <w:r w:rsidR="00421225" w:rsidRPr="00421225">
        <w:rPr>
          <w:lang w:val="fr-FR"/>
        </w:rPr>
        <w:t>’</w:t>
      </w:r>
      <w:r w:rsidR="00B00AE8" w:rsidRPr="00421225">
        <w:rPr>
          <w:lang w:val="fr-FR"/>
        </w:rPr>
        <w:t>il alléguait avoir été dirigée contre lui et celle faite par un autre témoin, avec lequel rien n</w:t>
      </w:r>
      <w:r w:rsidR="00421225" w:rsidRPr="00421225">
        <w:rPr>
          <w:lang w:val="fr-FR"/>
        </w:rPr>
        <w:t>’</w:t>
      </w:r>
      <w:r w:rsidR="00B00AE8" w:rsidRPr="00421225">
        <w:rPr>
          <w:lang w:val="fr-FR"/>
        </w:rPr>
        <w:t>indiquait qu</w:t>
      </w:r>
      <w:r w:rsidR="00421225" w:rsidRPr="00421225">
        <w:rPr>
          <w:lang w:val="fr-FR"/>
        </w:rPr>
        <w:t>’</w:t>
      </w:r>
      <w:r w:rsidR="00B00AE8" w:rsidRPr="00421225">
        <w:rPr>
          <w:lang w:val="fr-FR"/>
        </w:rPr>
        <w:t>il y eût eu collusion, d</w:t>
      </w:r>
      <w:r w:rsidR="00421225" w:rsidRPr="00421225">
        <w:rPr>
          <w:lang w:val="fr-FR"/>
        </w:rPr>
        <w:t>’</w:t>
      </w:r>
      <w:r w:rsidR="00B00AE8" w:rsidRPr="00421225">
        <w:rPr>
          <w:lang w:val="fr-FR"/>
        </w:rPr>
        <w:t>une infraction comparable commise par le même défendeur. Cela vaut d</w:t>
      </w:r>
      <w:r w:rsidR="00421225" w:rsidRPr="00421225">
        <w:rPr>
          <w:lang w:val="fr-FR"/>
        </w:rPr>
        <w:t>’</w:t>
      </w:r>
      <w:r w:rsidR="00B00AE8" w:rsidRPr="00421225">
        <w:rPr>
          <w:lang w:val="fr-FR"/>
        </w:rPr>
        <w:t>autant plus si ce dernier témoin dépose au procès et que sa fiabilité est vérifiée par un contre-interrogatoire</w:t>
      </w:r>
      <w:r w:rsidR="00B00AE8" w:rsidRPr="00421225">
        <w:rPr>
          <w:snapToGrid w:val="0"/>
          <w:lang w:val="fr-FR"/>
        </w:rPr>
        <w:t xml:space="preserve"> (</w:t>
      </w:r>
      <w:r w:rsidR="00B00AE8" w:rsidRPr="00421225">
        <w:rPr>
          <w:i/>
          <w:lang w:val="fr-FR"/>
        </w:rPr>
        <w:t>Schatschaschwili</w:t>
      </w:r>
      <w:r w:rsidR="00B00AE8" w:rsidRPr="00421225">
        <w:rPr>
          <w:lang w:val="fr-FR"/>
        </w:rPr>
        <w:t xml:space="preserve">, précité, § 128 ; comparer avec </w:t>
      </w:r>
      <w:r w:rsidR="00B00AE8" w:rsidRPr="00421225">
        <w:rPr>
          <w:i/>
          <w:lang w:val="fr-FR"/>
        </w:rPr>
        <w:t>Al-Khawaja et Tahery</w:t>
      </w:r>
      <w:r w:rsidR="00B00AE8" w:rsidRPr="00421225">
        <w:rPr>
          <w:lang w:val="fr-FR"/>
        </w:rPr>
        <w:t>, précité, § 156).</w:t>
      </w:r>
    </w:p>
    <w:p w:rsidR="006B7FFC" w:rsidRPr="00421225" w:rsidRDefault="00B00AE8"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57</w:t>
      </w:r>
      <w:r w:rsidRPr="00421225">
        <w:rPr>
          <w:lang w:val="fr-FR"/>
        </w:rPr>
        <w:fldChar w:fldCharType="end"/>
      </w:r>
      <w:r w:rsidRPr="00421225">
        <w:rPr>
          <w:lang w:val="fr-FR"/>
        </w:rPr>
        <w:t>.  Le défendeur doit en outre se voir offrir la possibilité de donner sa propre version des faits et de mettre en doute la crédibilité du témoin absent en soulignant toute incohérence ou contradiction avec les déclarations d</w:t>
      </w:r>
      <w:r w:rsidR="00421225" w:rsidRPr="00421225">
        <w:rPr>
          <w:lang w:val="fr-FR"/>
        </w:rPr>
        <w:t>’</w:t>
      </w:r>
      <w:r w:rsidRPr="00421225">
        <w:rPr>
          <w:lang w:val="fr-FR"/>
        </w:rPr>
        <w:t>autres témoins (</w:t>
      </w:r>
      <w:r w:rsidR="006D753A" w:rsidRPr="00421225">
        <w:rPr>
          <w:i/>
          <w:lang w:val="fr-FR"/>
        </w:rPr>
        <w:t>Aigner c. Autriche</w:t>
      </w:r>
      <w:r w:rsidR="006D753A" w:rsidRPr="00421225">
        <w:rPr>
          <w:lang w:val="fr-FR"/>
        </w:rPr>
        <w:t>, n</w:t>
      </w:r>
      <w:r w:rsidR="006D753A" w:rsidRPr="00421225">
        <w:rPr>
          <w:vertAlign w:val="superscript"/>
          <w:lang w:val="fr-FR"/>
        </w:rPr>
        <w:t>o</w:t>
      </w:r>
      <w:r w:rsidR="006D753A" w:rsidRPr="00421225">
        <w:rPr>
          <w:lang w:val="fr-FR"/>
        </w:rPr>
        <w:t> 28328/03</w:t>
      </w:r>
      <w:r w:rsidR="006D753A" w:rsidRPr="00421225">
        <w:rPr>
          <w:snapToGrid w:val="0"/>
          <w:szCs w:val="24"/>
          <w:lang w:val="fr-FR"/>
        </w:rPr>
        <w:t xml:space="preserve">, § 43, 10 </w:t>
      </w:r>
      <w:r w:rsidR="006D753A" w:rsidRPr="00421225">
        <w:rPr>
          <w:szCs w:val="24"/>
          <w:lang w:val="fr-FR"/>
        </w:rPr>
        <w:t>mai</w:t>
      </w:r>
      <w:r w:rsidR="006D753A" w:rsidRPr="00421225">
        <w:rPr>
          <w:snapToGrid w:val="0"/>
          <w:szCs w:val="24"/>
          <w:lang w:val="fr-FR"/>
        </w:rPr>
        <w:t xml:space="preserve"> 2012</w:t>
      </w:r>
      <w:r w:rsidRPr="00421225">
        <w:rPr>
          <w:lang w:val="fr-FR"/>
        </w:rPr>
        <w:t>,</w:t>
      </w:r>
      <w:r w:rsidR="006D753A" w:rsidRPr="00421225">
        <w:rPr>
          <w:lang w:val="fr-FR"/>
        </w:rPr>
        <w:t xml:space="preserve"> et</w:t>
      </w:r>
      <w:r w:rsidRPr="00421225">
        <w:rPr>
          <w:lang w:val="fr-FR"/>
        </w:rPr>
        <w:t xml:space="preserve"> </w:t>
      </w:r>
      <w:r w:rsidR="006D753A" w:rsidRPr="00421225">
        <w:rPr>
          <w:i/>
          <w:lang w:val="fr-FR"/>
        </w:rPr>
        <w:t>Garofolo c. Suisse</w:t>
      </w:r>
      <w:r w:rsidR="006D753A" w:rsidRPr="00421225">
        <w:rPr>
          <w:lang w:val="fr-FR"/>
        </w:rPr>
        <w:t xml:space="preserve"> (déc.), n</w:t>
      </w:r>
      <w:r w:rsidR="006D753A" w:rsidRPr="00421225">
        <w:rPr>
          <w:vertAlign w:val="superscript"/>
          <w:lang w:val="fr-FR"/>
        </w:rPr>
        <w:t>o</w:t>
      </w:r>
      <w:r w:rsidR="006D753A" w:rsidRPr="00421225">
        <w:rPr>
          <w:lang w:val="fr-FR"/>
        </w:rPr>
        <w:t> 4380/09, § 56, 2 avril 2013</w:t>
      </w:r>
      <w:r w:rsidRPr="00421225">
        <w:rPr>
          <w:lang w:val="fr-FR"/>
        </w:rPr>
        <w:t>). Lorsque l</w:t>
      </w:r>
      <w:r w:rsidR="00421225" w:rsidRPr="00421225">
        <w:rPr>
          <w:lang w:val="fr-FR"/>
        </w:rPr>
        <w:t>’</w:t>
      </w:r>
      <w:r w:rsidRPr="00421225">
        <w:rPr>
          <w:lang w:val="fr-FR"/>
        </w:rPr>
        <w:t>identité du témoin est connue de la défense, celle-ci est en mesure d</w:t>
      </w:r>
      <w:r w:rsidR="00421225" w:rsidRPr="00421225">
        <w:rPr>
          <w:lang w:val="fr-FR"/>
        </w:rPr>
        <w:t>’</w:t>
      </w:r>
      <w:r w:rsidRPr="00421225">
        <w:rPr>
          <w:lang w:val="fr-FR"/>
        </w:rPr>
        <w:t>identifier et d</w:t>
      </w:r>
      <w:r w:rsidR="00421225" w:rsidRPr="00421225">
        <w:rPr>
          <w:lang w:val="fr-FR"/>
        </w:rPr>
        <w:t>’</w:t>
      </w:r>
      <w:r w:rsidRPr="00421225">
        <w:rPr>
          <w:lang w:val="fr-FR"/>
        </w:rPr>
        <w:t>analyser les motifs que le témoin peut avoir de mentir, et donc de contester sa crédibilité de manière effective même en son absence, bien que dans une mesure moindre qu</w:t>
      </w:r>
      <w:r w:rsidR="00421225" w:rsidRPr="00421225">
        <w:rPr>
          <w:lang w:val="fr-FR"/>
        </w:rPr>
        <w:t>’</w:t>
      </w:r>
      <w:r w:rsidRPr="00421225">
        <w:rPr>
          <w:lang w:val="fr-FR"/>
        </w:rPr>
        <w:t>au cours d</w:t>
      </w:r>
      <w:r w:rsidR="00421225" w:rsidRPr="00421225">
        <w:rPr>
          <w:lang w:val="fr-FR"/>
        </w:rPr>
        <w:t>’</w:t>
      </w:r>
      <w:r w:rsidRPr="00421225">
        <w:rPr>
          <w:lang w:val="fr-FR"/>
        </w:rPr>
        <w:t>une confrontation directe (</w:t>
      </w:r>
      <w:r w:rsidRPr="00421225">
        <w:rPr>
          <w:i/>
          <w:lang w:val="fr-FR"/>
        </w:rPr>
        <w:t>Brzuszczyński</w:t>
      </w:r>
      <w:r w:rsidRPr="00421225">
        <w:rPr>
          <w:lang w:val="fr-FR"/>
        </w:rPr>
        <w:t>, précité, § 88</w:t>
      </w:r>
      <w:r w:rsidR="006D753A" w:rsidRPr="00421225">
        <w:rPr>
          <w:lang w:val="fr-FR"/>
        </w:rPr>
        <w:t xml:space="preserve">, et </w:t>
      </w:r>
      <w:r w:rsidR="006D753A" w:rsidRPr="00421225">
        <w:rPr>
          <w:i/>
          <w:lang w:val="fr-FR"/>
        </w:rPr>
        <w:t>Schatschaschwili</w:t>
      </w:r>
      <w:r w:rsidR="006D753A" w:rsidRPr="00421225">
        <w:rPr>
          <w:lang w:val="fr-FR"/>
        </w:rPr>
        <w:t>, précité, § 131</w:t>
      </w:r>
      <w:r w:rsidRPr="00421225">
        <w:rPr>
          <w:lang w:val="fr-FR"/>
        </w:rPr>
        <w:t>).</w:t>
      </w:r>
    </w:p>
    <w:p w:rsidR="00B00AE8" w:rsidRPr="00421225" w:rsidRDefault="006D753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58</w:t>
      </w:r>
      <w:r w:rsidRPr="00421225">
        <w:rPr>
          <w:lang w:val="fr-FR"/>
        </w:rPr>
        <w:fldChar w:fldCharType="end"/>
      </w:r>
      <w:r w:rsidRPr="00421225">
        <w:rPr>
          <w:lang w:val="fr-FR"/>
        </w:rPr>
        <w:t>.  </w:t>
      </w:r>
      <w:r w:rsidR="004C1101" w:rsidRPr="00421225">
        <w:rPr>
          <w:lang w:val="fr-FR"/>
        </w:rPr>
        <w:t>La Cour relève qu</w:t>
      </w:r>
      <w:r w:rsidR="00421225" w:rsidRPr="00421225">
        <w:rPr>
          <w:lang w:val="fr-FR"/>
        </w:rPr>
        <w:t>’</w:t>
      </w:r>
      <w:r w:rsidR="004C1101" w:rsidRPr="00421225">
        <w:rPr>
          <w:lang w:val="fr-FR"/>
        </w:rPr>
        <w:t>en l</w:t>
      </w:r>
      <w:r w:rsidR="00421225" w:rsidRPr="00421225">
        <w:rPr>
          <w:lang w:val="fr-FR"/>
        </w:rPr>
        <w:t>’</w:t>
      </w:r>
      <w:r w:rsidR="004C1101" w:rsidRPr="00421225">
        <w:rPr>
          <w:lang w:val="fr-FR"/>
        </w:rPr>
        <w:t>espèce, la cour d</w:t>
      </w:r>
      <w:r w:rsidR="00421225" w:rsidRPr="00421225">
        <w:rPr>
          <w:lang w:val="fr-FR"/>
        </w:rPr>
        <w:t>’</w:t>
      </w:r>
      <w:r w:rsidR="004C1101" w:rsidRPr="00421225">
        <w:rPr>
          <w:lang w:val="fr-FR"/>
        </w:rPr>
        <w:t>appel de Bari a évalué avec soin la crédibilité de B, observant que ce témoin n</w:t>
      </w:r>
      <w:r w:rsidR="00421225" w:rsidRPr="00421225">
        <w:rPr>
          <w:lang w:val="fr-FR"/>
        </w:rPr>
        <w:t>’</w:t>
      </w:r>
      <w:r w:rsidR="004C1101" w:rsidRPr="00421225">
        <w:rPr>
          <w:lang w:val="fr-FR"/>
        </w:rPr>
        <w:t>avait aucune raison pour accuser le requérant et qu</w:t>
      </w:r>
      <w:r w:rsidR="00421225" w:rsidRPr="00421225">
        <w:rPr>
          <w:lang w:val="fr-FR"/>
        </w:rPr>
        <w:t>’</w:t>
      </w:r>
      <w:r w:rsidR="004C1101" w:rsidRPr="00421225">
        <w:rPr>
          <w:lang w:val="fr-FR"/>
        </w:rPr>
        <w:t xml:space="preserve">avant les faits délictueux, il ne connaissait la victime. Ces éléments ont </w:t>
      </w:r>
      <w:r w:rsidR="004C1101" w:rsidRPr="00421225">
        <w:rPr>
          <w:szCs w:val="24"/>
          <w:lang w:val="fr-FR"/>
        </w:rPr>
        <w:t>am</w:t>
      </w:r>
      <w:r w:rsidR="00352345" w:rsidRPr="00421225">
        <w:rPr>
          <w:szCs w:val="24"/>
          <w:lang w:val="fr-FR"/>
        </w:rPr>
        <w:t>e</w:t>
      </w:r>
      <w:r w:rsidR="004C1101" w:rsidRPr="00421225">
        <w:rPr>
          <w:szCs w:val="24"/>
          <w:lang w:val="fr-FR"/>
        </w:rPr>
        <w:t>n</w:t>
      </w:r>
      <w:r w:rsidR="00352345" w:rsidRPr="00421225">
        <w:rPr>
          <w:szCs w:val="24"/>
          <w:lang w:val="fr-FR"/>
        </w:rPr>
        <w:t>é</w:t>
      </w:r>
      <w:r w:rsidR="004C1101" w:rsidRPr="00421225">
        <w:rPr>
          <w:szCs w:val="24"/>
          <w:lang w:val="fr-FR"/>
        </w:rPr>
        <w:t xml:space="preserve"> </w:t>
      </w:r>
      <w:r w:rsidR="00A01D70" w:rsidRPr="00421225">
        <w:rPr>
          <w:szCs w:val="24"/>
          <w:lang w:val="fr-FR"/>
        </w:rPr>
        <w:t>la cour d</w:t>
      </w:r>
      <w:r w:rsidR="00421225" w:rsidRPr="00421225">
        <w:rPr>
          <w:szCs w:val="24"/>
          <w:lang w:val="fr-FR"/>
        </w:rPr>
        <w:t>’</w:t>
      </w:r>
      <w:r w:rsidR="00A01D70" w:rsidRPr="00421225">
        <w:rPr>
          <w:szCs w:val="24"/>
          <w:lang w:val="fr-FR"/>
        </w:rPr>
        <w:t xml:space="preserve">appel </w:t>
      </w:r>
      <w:r w:rsidR="004C1101" w:rsidRPr="00421225">
        <w:rPr>
          <w:szCs w:val="24"/>
          <w:lang w:val="fr-FR"/>
        </w:rPr>
        <w:t xml:space="preserve">à considérer </w:t>
      </w:r>
      <w:r w:rsidR="00A01D70" w:rsidRPr="00421225">
        <w:rPr>
          <w:szCs w:val="24"/>
          <w:lang w:val="fr-FR"/>
        </w:rPr>
        <w:t>l</w:t>
      </w:r>
      <w:r w:rsidR="004C1101" w:rsidRPr="00421225">
        <w:rPr>
          <w:szCs w:val="24"/>
          <w:lang w:val="fr-FR"/>
        </w:rPr>
        <w:t>a déposition</w:t>
      </w:r>
      <w:r w:rsidR="00A01D70" w:rsidRPr="00421225">
        <w:rPr>
          <w:szCs w:val="24"/>
          <w:lang w:val="fr-FR"/>
        </w:rPr>
        <w:t xml:space="preserve"> de B</w:t>
      </w:r>
      <w:r w:rsidR="004C1101" w:rsidRPr="00421225">
        <w:rPr>
          <w:szCs w:val="24"/>
          <w:lang w:val="fr-FR"/>
        </w:rPr>
        <w:t xml:space="preserve"> </w:t>
      </w:r>
      <w:r w:rsidR="00182C0B" w:rsidRPr="00421225">
        <w:rPr>
          <w:szCs w:val="24"/>
          <w:lang w:val="fr-FR"/>
        </w:rPr>
        <w:t xml:space="preserve">comme étant </w:t>
      </w:r>
      <w:r w:rsidR="004C1101" w:rsidRPr="00421225">
        <w:rPr>
          <w:szCs w:val="24"/>
          <w:lang w:val="fr-FR"/>
        </w:rPr>
        <w:t>désintéressée, et donc suffisamment fiable</w:t>
      </w:r>
      <w:r w:rsidR="00A01D70" w:rsidRPr="00421225">
        <w:rPr>
          <w:szCs w:val="24"/>
          <w:lang w:val="fr-FR"/>
        </w:rPr>
        <w:t>.</w:t>
      </w:r>
      <w:r w:rsidR="004C1101" w:rsidRPr="00421225">
        <w:rPr>
          <w:lang w:val="fr-FR"/>
        </w:rPr>
        <w:t xml:space="preserve"> En outre, aussi les déclarations de </w:t>
      </w:r>
      <w:r w:rsidR="00A01D70" w:rsidRPr="00421225">
        <w:rPr>
          <w:lang w:val="fr-FR"/>
        </w:rPr>
        <w:t>A</w:t>
      </w:r>
      <w:r w:rsidR="004C1101" w:rsidRPr="00421225">
        <w:rPr>
          <w:lang w:val="fr-FR"/>
        </w:rPr>
        <w:t xml:space="preserve"> ont été examinées avec rigueur, les juges du fond </w:t>
      </w:r>
      <w:r w:rsidR="004C1101" w:rsidRPr="00421225">
        <w:rPr>
          <w:lang w:val="fr-FR"/>
        </w:rPr>
        <w:lastRenderedPageBreak/>
        <w:t>s</w:t>
      </w:r>
      <w:r w:rsidR="00421225" w:rsidRPr="00421225">
        <w:rPr>
          <w:lang w:val="fr-FR"/>
        </w:rPr>
        <w:t>’</w:t>
      </w:r>
      <w:r w:rsidR="004C1101" w:rsidRPr="00421225">
        <w:rPr>
          <w:lang w:val="fr-FR"/>
        </w:rPr>
        <w:t>étant penchés sur la question de savoir si les résultats des examens médicaux effectués sur elle étaient compatibles avec sa version des faits (paragraphes</w:t>
      </w:r>
      <w:r w:rsidR="00A01D70" w:rsidRPr="00421225">
        <w:rPr>
          <w:lang w:val="fr-FR"/>
        </w:rPr>
        <w:t> </w:t>
      </w:r>
      <w:r w:rsidR="00A30B59" w:rsidRPr="00421225">
        <w:rPr>
          <w:noProof/>
          <w:lang w:val="fr-FR"/>
        </w:rPr>
        <w:t>17</w:t>
      </w:r>
      <w:r w:rsidR="004C1101" w:rsidRPr="00421225">
        <w:rPr>
          <w:lang w:val="fr-FR"/>
        </w:rPr>
        <w:t xml:space="preserve"> et </w:t>
      </w:r>
      <w:r w:rsidR="00A30B59" w:rsidRPr="00421225">
        <w:rPr>
          <w:noProof/>
          <w:lang w:val="fr-FR"/>
        </w:rPr>
        <w:t>22</w:t>
      </w:r>
      <w:r w:rsidR="004C1101" w:rsidRPr="00421225">
        <w:rPr>
          <w:lang w:val="fr-FR"/>
        </w:rPr>
        <w:t>-</w:t>
      </w:r>
      <w:r w:rsidR="00A30B59" w:rsidRPr="00421225">
        <w:rPr>
          <w:noProof/>
          <w:lang w:val="fr-FR"/>
        </w:rPr>
        <w:t>23</w:t>
      </w:r>
      <w:r w:rsidR="004C1101" w:rsidRPr="00421225">
        <w:rPr>
          <w:lang w:val="fr-FR"/>
        </w:rPr>
        <w:t xml:space="preserve"> ci-dessus).</w:t>
      </w:r>
      <w:r w:rsidR="00A01D70" w:rsidRPr="00421225">
        <w:rPr>
          <w:lang w:val="fr-FR"/>
        </w:rPr>
        <w:t xml:space="preserve"> En l</w:t>
      </w:r>
      <w:r w:rsidR="00421225" w:rsidRPr="00421225">
        <w:rPr>
          <w:lang w:val="fr-FR"/>
        </w:rPr>
        <w:t>’</w:t>
      </w:r>
      <w:r w:rsidR="00A01D70" w:rsidRPr="00421225">
        <w:rPr>
          <w:lang w:val="fr-FR"/>
        </w:rPr>
        <w:t>absence d</w:t>
      </w:r>
      <w:r w:rsidR="00421225" w:rsidRPr="00421225">
        <w:rPr>
          <w:lang w:val="fr-FR"/>
        </w:rPr>
        <w:t>’</w:t>
      </w:r>
      <w:r w:rsidR="00A01D70" w:rsidRPr="00421225">
        <w:rPr>
          <w:lang w:val="fr-FR"/>
        </w:rPr>
        <w:t xml:space="preserve">indices de collusion entre ces deux témoins, la concordance des versions de A et B </w:t>
      </w:r>
      <w:r w:rsidR="00182C0B" w:rsidRPr="00421225">
        <w:rPr>
          <w:lang w:val="fr-FR"/>
        </w:rPr>
        <w:t xml:space="preserve">a été </w:t>
      </w:r>
      <w:r w:rsidR="00352345" w:rsidRPr="00421225">
        <w:rPr>
          <w:lang w:val="fr-FR"/>
        </w:rPr>
        <w:t>u</w:t>
      </w:r>
      <w:r w:rsidR="00182C0B" w:rsidRPr="00421225">
        <w:rPr>
          <w:lang w:val="fr-FR"/>
        </w:rPr>
        <w:t>n élément de poids pour affirmer</w:t>
      </w:r>
      <w:r w:rsidR="00A01D70" w:rsidRPr="00421225">
        <w:rPr>
          <w:lang w:val="fr-FR"/>
        </w:rPr>
        <w:t xml:space="preserve"> la culpabilité du requérant.</w:t>
      </w:r>
    </w:p>
    <w:p w:rsidR="00A01D70" w:rsidRPr="00421225" w:rsidRDefault="00A01D70"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59</w:t>
      </w:r>
      <w:r w:rsidRPr="00421225">
        <w:rPr>
          <w:lang w:val="fr-FR"/>
        </w:rPr>
        <w:fldChar w:fldCharType="end"/>
      </w:r>
      <w:r w:rsidRPr="00421225">
        <w:rPr>
          <w:lang w:val="fr-FR"/>
        </w:rPr>
        <w:t>.  La Cour observe de surcroît que le requérant a été représenté par un avocat tout au long du procès et qu</w:t>
      </w:r>
      <w:r w:rsidR="00421225" w:rsidRPr="00421225">
        <w:rPr>
          <w:lang w:val="fr-FR"/>
        </w:rPr>
        <w:t>’</w:t>
      </w:r>
      <w:r w:rsidRPr="00421225">
        <w:rPr>
          <w:lang w:val="fr-FR"/>
        </w:rPr>
        <w:t>il a eu la possibilité de présenter ses défenses et sa version des évènements par l</w:t>
      </w:r>
      <w:r w:rsidR="00421225" w:rsidRPr="00421225">
        <w:rPr>
          <w:lang w:val="fr-FR"/>
        </w:rPr>
        <w:t>’</w:t>
      </w:r>
      <w:r w:rsidRPr="00421225">
        <w:rPr>
          <w:lang w:val="fr-FR"/>
        </w:rPr>
        <w:t>intermédiaire de son conseil et en personne</w:t>
      </w:r>
      <w:r w:rsidR="00705AC8" w:rsidRPr="00421225">
        <w:rPr>
          <w:lang w:val="fr-FR"/>
        </w:rPr>
        <w:t xml:space="preserve">, notamment </w:t>
      </w:r>
      <w:r w:rsidRPr="00421225">
        <w:rPr>
          <w:lang w:val="fr-FR"/>
        </w:rPr>
        <w:t>lors de</w:t>
      </w:r>
      <w:r w:rsidR="00705AC8" w:rsidRPr="00421225">
        <w:rPr>
          <w:lang w:val="fr-FR"/>
        </w:rPr>
        <w:t>s</w:t>
      </w:r>
      <w:r w:rsidRPr="00421225">
        <w:rPr>
          <w:lang w:val="fr-FR"/>
        </w:rPr>
        <w:t xml:space="preserve"> audience</w:t>
      </w:r>
      <w:r w:rsidR="00705AC8" w:rsidRPr="00421225">
        <w:rPr>
          <w:lang w:val="fr-FR"/>
        </w:rPr>
        <w:t>s des 14 janvier</w:t>
      </w:r>
      <w:r w:rsidRPr="00421225">
        <w:rPr>
          <w:lang w:val="fr-FR"/>
        </w:rPr>
        <w:t xml:space="preserve"> </w:t>
      </w:r>
      <w:r w:rsidR="00705AC8" w:rsidRPr="00421225">
        <w:rPr>
          <w:lang w:val="fr-FR"/>
        </w:rPr>
        <w:t>et</w:t>
      </w:r>
      <w:r w:rsidRPr="00421225">
        <w:rPr>
          <w:lang w:val="fr-FR"/>
        </w:rPr>
        <w:t xml:space="preserve"> 6 mai 2010, </w:t>
      </w:r>
      <w:r w:rsidR="00705AC8" w:rsidRPr="00421225">
        <w:rPr>
          <w:lang w:val="fr-FR"/>
        </w:rPr>
        <w:t>au cours desquelles</w:t>
      </w:r>
      <w:r w:rsidRPr="00421225">
        <w:rPr>
          <w:lang w:val="fr-FR"/>
        </w:rPr>
        <w:t xml:space="preserve"> il a </w:t>
      </w:r>
      <w:r w:rsidR="00705AC8" w:rsidRPr="00421225">
        <w:rPr>
          <w:lang w:val="fr-FR"/>
        </w:rPr>
        <w:t xml:space="preserve">été interrogé et a </w:t>
      </w:r>
      <w:r w:rsidRPr="00421225">
        <w:rPr>
          <w:lang w:val="fr-FR"/>
        </w:rPr>
        <w:t>fait des déclarations spontanées (paragraphe</w:t>
      </w:r>
      <w:r w:rsidR="00705AC8" w:rsidRPr="00421225">
        <w:rPr>
          <w:lang w:val="fr-FR"/>
        </w:rPr>
        <w:t>s</w:t>
      </w:r>
      <w:r w:rsidRPr="00421225">
        <w:rPr>
          <w:lang w:val="fr-FR"/>
        </w:rPr>
        <w:t xml:space="preserve"> </w:t>
      </w:r>
      <w:r w:rsidR="00A30B59" w:rsidRPr="00421225">
        <w:rPr>
          <w:noProof/>
          <w:lang w:val="fr-FR"/>
        </w:rPr>
        <w:t>12</w:t>
      </w:r>
      <w:r w:rsidR="00705AC8" w:rsidRPr="00421225">
        <w:rPr>
          <w:lang w:val="fr-FR"/>
        </w:rPr>
        <w:t>-</w:t>
      </w:r>
      <w:r w:rsidR="00A30B59" w:rsidRPr="00421225">
        <w:rPr>
          <w:noProof/>
          <w:lang w:val="fr-FR"/>
        </w:rPr>
        <w:t>13</w:t>
      </w:r>
      <w:r w:rsidR="00657CE1" w:rsidRPr="00421225">
        <w:rPr>
          <w:lang w:val="fr-FR"/>
        </w:rPr>
        <w:t xml:space="preserve"> ci-dessus).</w:t>
      </w:r>
    </w:p>
    <w:p w:rsidR="00901F43" w:rsidRPr="00421225" w:rsidRDefault="00390C5F"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60</w:t>
      </w:r>
      <w:r w:rsidRPr="00421225">
        <w:rPr>
          <w:lang w:val="fr-FR"/>
        </w:rPr>
        <w:fldChar w:fldCharType="end"/>
      </w:r>
      <w:r w:rsidRPr="00421225">
        <w:rPr>
          <w:lang w:val="fr-FR"/>
        </w:rPr>
        <w:t>.  Il convient en outre de noter que le conseil du requérant a eu la possibilité de contre-interroger A, victime présumée d</w:t>
      </w:r>
      <w:r w:rsidR="00421225" w:rsidRPr="00421225">
        <w:rPr>
          <w:lang w:val="fr-FR"/>
        </w:rPr>
        <w:t>’</w:t>
      </w:r>
      <w:r w:rsidRPr="00421225">
        <w:rPr>
          <w:lang w:val="fr-FR"/>
        </w:rPr>
        <w:t>un viol, à l</w:t>
      </w:r>
      <w:r w:rsidR="00421225" w:rsidRPr="00421225">
        <w:rPr>
          <w:lang w:val="fr-FR"/>
        </w:rPr>
        <w:t>’</w:t>
      </w:r>
      <w:r w:rsidRPr="00421225">
        <w:rPr>
          <w:lang w:val="fr-FR"/>
        </w:rPr>
        <w:t xml:space="preserve">audience </w:t>
      </w:r>
      <w:r w:rsidRPr="00421225">
        <w:rPr>
          <w:i/>
          <w:lang w:val="fr-FR"/>
        </w:rPr>
        <w:t xml:space="preserve">ad hoc </w:t>
      </w:r>
      <w:r w:rsidRPr="00421225">
        <w:rPr>
          <w:lang w:val="fr-FR"/>
        </w:rPr>
        <w:t xml:space="preserve">du 9 février 2009 (paragraphe </w:t>
      </w:r>
      <w:r w:rsidR="00A30B59" w:rsidRPr="00421225">
        <w:rPr>
          <w:noProof/>
          <w:lang w:val="fr-FR"/>
        </w:rPr>
        <w:t>9</w:t>
      </w:r>
      <w:r w:rsidRPr="00421225">
        <w:rPr>
          <w:lang w:val="fr-FR"/>
        </w:rPr>
        <w:t xml:space="preserve"> ci-dessus). Le requérant a renoncé à une deuxième opportunité de poser de question</w:t>
      </w:r>
      <w:r w:rsidR="00182C0B" w:rsidRPr="00421225">
        <w:rPr>
          <w:lang w:val="fr-FR"/>
        </w:rPr>
        <w:t>s</w:t>
      </w:r>
      <w:r w:rsidRPr="00421225">
        <w:rPr>
          <w:lang w:val="fr-FR"/>
        </w:rPr>
        <w:t xml:space="preserve"> à A </w:t>
      </w:r>
      <w:r w:rsidR="00182C0B" w:rsidRPr="00421225">
        <w:rPr>
          <w:lang w:val="fr-FR"/>
        </w:rPr>
        <w:t>lorsqu</w:t>
      </w:r>
      <w:r w:rsidR="00421225" w:rsidRPr="00421225">
        <w:rPr>
          <w:lang w:val="fr-FR"/>
        </w:rPr>
        <w:t>’</w:t>
      </w:r>
      <w:r w:rsidR="00182C0B" w:rsidRPr="00421225">
        <w:rPr>
          <w:lang w:val="fr-FR"/>
        </w:rPr>
        <w:t>il a donné</w:t>
      </w:r>
      <w:r w:rsidRPr="00421225">
        <w:rPr>
          <w:lang w:val="fr-FR"/>
        </w:rPr>
        <w:t xml:space="preserve"> son accord à la renonciation du parquet à </w:t>
      </w:r>
      <w:r w:rsidR="00182C0B" w:rsidRPr="00421225">
        <w:rPr>
          <w:lang w:val="fr-FR"/>
        </w:rPr>
        <w:t>l</w:t>
      </w:r>
      <w:r w:rsidR="00421225" w:rsidRPr="00421225">
        <w:rPr>
          <w:lang w:val="fr-FR"/>
        </w:rPr>
        <w:t>’</w:t>
      </w:r>
      <w:r w:rsidRPr="00421225">
        <w:rPr>
          <w:lang w:val="fr-FR"/>
        </w:rPr>
        <w:t>audition d</w:t>
      </w:r>
      <w:r w:rsidR="00182C0B" w:rsidRPr="00421225">
        <w:rPr>
          <w:lang w:val="fr-FR"/>
        </w:rPr>
        <w:t>e la victime</w:t>
      </w:r>
      <w:r w:rsidRPr="00421225">
        <w:rPr>
          <w:lang w:val="fr-FR"/>
        </w:rPr>
        <w:t xml:space="preserve"> aux débats (paragraphe </w:t>
      </w:r>
      <w:r w:rsidR="00A30B59" w:rsidRPr="00421225">
        <w:rPr>
          <w:noProof/>
          <w:lang w:val="fr-FR"/>
        </w:rPr>
        <w:t>11</w:t>
      </w:r>
      <w:r w:rsidRPr="00421225">
        <w:rPr>
          <w:lang w:val="fr-FR"/>
        </w:rPr>
        <w:t xml:space="preserve"> ci-dessus). Enfin, la défense a eu le loisir de contre-interroger d</w:t>
      </w:r>
      <w:r w:rsidR="00421225" w:rsidRPr="00421225">
        <w:rPr>
          <w:lang w:val="fr-FR"/>
        </w:rPr>
        <w:t>’</w:t>
      </w:r>
      <w:r w:rsidRPr="00421225">
        <w:rPr>
          <w:lang w:val="fr-FR"/>
        </w:rPr>
        <w:t>autres témoins, à savoir le carabinier ayant recueilli la plainte de A, le fiancé de cette dernière et le gynécologue l</w:t>
      </w:r>
      <w:r w:rsidR="00421225" w:rsidRPr="00421225">
        <w:rPr>
          <w:lang w:val="fr-FR"/>
        </w:rPr>
        <w:t>’</w:t>
      </w:r>
      <w:r w:rsidRPr="00421225">
        <w:rPr>
          <w:lang w:val="fr-FR"/>
        </w:rPr>
        <w:t xml:space="preserve">ayant examiné après les faits (paragraphes </w:t>
      </w:r>
      <w:r w:rsidR="00A30B59" w:rsidRPr="00421225">
        <w:rPr>
          <w:noProof/>
          <w:lang w:val="fr-FR"/>
        </w:rPr>
        <w:t>11</w:t>
      </w:r>
      <w:r w:rsidRPr="00421225">
        <w:rPr>
          <w:lang w:val="fr-FR"/>
        </w:rPr>
        <w:t xml:space="preserve"> et </w:t>
      </w:r>
      <w:r w:rsidR="00A30B59" w:rsidRPr="00421225">
        <w:rPr>
          <w:noProof/>
          <w:lang w:val="fr-FR"/>
        </w:rPr>
        <w:t>13</w:t>
      </w:r>
      <w:r w:rsidRPr="00421225">
        <w:rPr>
          <w:lang w:val="fr-FR"/>
        </w:rPr>
        <w:t xml:space="preserve"> ci-dessus). L</w:t>
      </w:r>
      <w:r w:rsidR="00421225" w:rsidRPr="00421225">
        <w:rPr>
          <w:lang w:val="fr-FR"/>
        </w:rPr>
        <w:t>’</w:t>
      </w:r>
      <w:r w:rsidRPr="00421225">
        <w:rPr>
          <w:lang w:val="fr-FR"/>
        </w:rPr>
        <w:t>accusé a ainsi eu la possibilité d</w:t>
      </w:r>
      <w:r w:rsidR="00421225" w:rsidRPr="00421225">
        <w:rPr>
          <w:lang w:val="fr-FR"/>
        </w:rPr>
        <w:t>’</w:t>
      </w:r>
      <w:r w:rsidRPr="00421225">
        <w:rPr>
          <w:lang w:val="fr-FR"/>
        </w:rPr>
        <w:t>essayer de miner la crédibilité des témoins à charge</w:t>
      </w:r>
      <w:r w:rsidR="00182C0B" w:rsidRPr="00421225">
        <w:rPr>
          <w:lang w:val="fr-FR"/>
        </w:rPr>
        <w:t>, et plus particulièrement de B</w:t>
      </w:r>
      <w:r w:rsidRPr="00421225">
        <w:rPr>
          <w:lang w:val="fr-FR"/>
        </w:rPr>
        <w:t>.</w:t>
      </w:r>
      <w:r w:rsidR="00182C0B" w:rsidRPr="00421225">
        <w:rPr>
          <w:lang w:val="fr-FR"/>
        </w:rPr>
        <w:t xml:space="preserve"> En effet, il connaissait son identité et a eu le loisir de souligner toute incohérence ou contradiction éventuelle entre les déclarations de B et celles des autres témoins.</w:t>
      </w:r>
    </w:p>
    <w:p w:rsidR="00E35B43" w:rsidRPr="00421225" w:rsidRDefault="00E35B43"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61</w:t>
      </w:r>
      <w:r w:rsidRPr="00421225">
        <w:rPr>
          <w:lang w:val="fr-FR"/>
        </w:rPr>
        <w:fldChar w:fldCharType="end"/>
      </w:r>
      <w:r w:rsidRPr="00421225">
        <w:rPr>
          <w:lang w:val="fr-FR"/>
        </w:rPr>
        <w:t>.  Il est vrai que les autorités de poursuite n</w:t>
      </w:r>
      <w:r w:rsidR="00421225" w:rsidRPr="00421225">
        <w:rPr>
          <w:lang w:val="fr-FR"/>
        </w:rPr>
        <w:t>’</w:t>
      </w:r>
      <w:r w:rsidRPr="00421225">
        <w:rPr>
          <w:lang w:val="fr-FR"/>
        </w:rPr>
        <w:t xml:space="preserve">ont pas donné au requérant ou </w:t>
      </w:r>
      <w:r w:rsidR="00F233B1" w:rsidRPr="00421225">
        <w:rPr>
          <w:lang w:val="fr-FR"/>
        </w:rPr>
        <w:t xml:space="preserve">à </w:t>
      </w:r>
      <w:r w:rsidRPr="00421225">
        <w:rPr>
          <w:lang w:val="fr-FR"/>
        </w:rPr>
        <w:t>son avocat la possibilité d</w:t>
      </w:r>
      <w:r w:rsidR="00421225" w:rsidRPr="00421225">
        <w:rPr>
          <w:lang w:val="fr-FR"/>
        </w:rPr>
        <w:t>’</w:t>
      </w:r>
      <w:r w:rsidRPr="00421225">
        <w:rPr>
          <w:lang w:val="fr-FR"/>
        </w:rPr>
        <w:t>interroger B au stade de l</w:t>
      </w:r>
      <w:r w:rsidR="00421225" w:rsidRPr="00421225">
        <w:rPr>
          <w:lang w:val="fr-FR"/>
        </w:rPr>
        <w:t>’</w:t>
      </w:r>
      <w:r w:rsidRPr="00421225">
        <w:rPr>
          <w:lang w:val="fr-FR"/>
        </w:rPr>
        <w:t>instruction. Cependant, la Cour observe que cette possibilité est normalement prévue pour les cas où il y a un risque que le témoin ne puisse pas être entendu lors d</w:t>
      </w:r>
      <w:r w:rsidR="00421225" w:rsidRPr="00421225">
        <w:rPr>
          <w:lang w:val="fr-FR"/>
        </w:rPr>
        <w:t>’</w:t>
      </w:r>
      <w:r w:rsidRPr="00421225">
        <w:rPr>
          <w:lang w:val="fr-FR"/>
        </w:rPr>
        <w:t>un procès ultérieur contre l</w:t>
      </w:r>
      <w:r w:rsidR="00421225" w:rsidRPr="00421225">
        <w:rPr>
          <w:lang w:val="fr-FR"/>
        </w:rPr>
        <w:t>’</w:t>
      </w:r>
      <w:r w:rsidRPr="00421225">
        <w:rPr>
          <w:lang w:val="fr-FR"/>
        </w:rPr>
        <w:t>accusé</w:t>
      </w:r>
      <w:r w:rsidR="006828A3" w:rsidRPr="00421225">
        <w:rPr>
          <w:lang w:val="fr-FR"/>
        </w:rPr>
        <w:t>. Or, en l</w:t>
      </w:r>
      <w:r w:rsidR="00421225" w:rsidRPr="00421225">
        <w:rPr>
          <w:lang w:val="fr-FR"/>
        </w:rPr>
        <w:t>’</w:t>
      </w:r>
      <w:r w:rsidR="006828A3" w:rsidRPr="00421225">
        <w:rPr>
          <w:lang w:val="fr-FR"/>
        </w:rPr>
        <w:t>espèce la Cour ne saurait souscrire à la thèse du requérant selon laquelle l</w:t>
      </w:r>
      <w:r w:rsidR="00421225" w:rsidRPr="00421225">
        <w:rPr>
          <w:lang w:val="fr-FR"/>
        </w:rPr>
        <w:t>’</w:t>
      </w:r>
      <w:r w:rsidR="006828A3" w:rsidRPr="00421225">
        <w:rPr>
          <w:lang w:val="fr-FR"/>
        </w:rPr>
        <w:t xml:space="preserve">absence de B aux débats était prévisible (paragraphe </w:t>
      </w:r>
      <w:r w:rsidR="00A30B59" w:rsidRPr="00421225">
        <w:rPr>
          <w:noProof/>
          <w:lang w:val="fr-FR"/>
        </w:rPr>
        <w:t>34</w:t>
      </w:r>
      <w:r w:rsidR="006828A3" w:rsidRPr="00421225">
        <w:rPr>
          <w:lang w:val="fr-FR"/>
        </w:rPr>
        <w:t xml:space="preserve"> ci-dessus). En effet, comme les juridictions italiennes l</w:t>
      </w:r>
      <w:r w:rsidR="00421225" w:rsidRPr="00421225">
        <w:rPr>
          <w:lang w:val="fr-FR"/>
        </w:rPr>
        <w:t>’</w:t>
      </w:r>
      <w:r w:rsidR="006828A3" w:rsidRPr="00421225">
        <w:rPr>
          <w:lang w:val="fr-FR"/>
        </w:rPr>
        <w:t>ont remarqué, au moment de son interrogatoire par les carabiniers, B avait élu un domicile, avait un travail stable et régulier en Italie et s</w:t>
      </w:r>
      <w:r w:rsidR="00421225" w:rsidRPr="00421225">
        <w:rPr>
          <w:lang w:val="fr-FR"/>
        </w:rPr>
        <w:t>’</w:t>
      </w:r>
      <w:r w:rsidR="006828A3" w:rsidRPr="00421225">
        <w:rPr>
          <w:lang w:val="fr-FR"/>
        </w:rPr>
        <w:t>était montré disposé à collaborer avec les autorités</w:t>
      </w:r>
      <w:r w:rsidRPr="00421225">
        <w:rPr>
          <w:lang w:val="fr-FR"/>
        </w:rPr>
        <w:t xml:space="preserve"> (</w:t>
      </w:r>
      <w:r w:rsidR="006828A3" w:rsidRPr="00421225">
        <w:rPr>
          <w:lang w:val="fr-FR"/>
        </w:rPr>
        <w:t>paragraphes </w:t>
      </w:r>
      <w:r w:rsidR="00A30B59" w:rsidRPr="00421225">
        <w:rPr>
          <w:noProof/>
          <w:lang w:val="fr-FR"/>
        </w:rPr>
        <w:t>16</w:t>
      </w:r>
      <w:r w:rsidR="006828A3" w:rsidRPr="00421225">
        <w:rPr>
          <w:lang w:val="fr-FR"/>
        </w:rPr>
        <w:t xml:space="preserve">, </w:t>
      </w:r>
      <w:r w:rsidR="00A30B59" w:rsidRPr="00421225">
        <w:rPr>
          <w:noProof/>
          <w:lang w:val="fr-FR"/>
        </w:rPr>
        <w:t>20</w:t>
      </w:r>
      <w:r w:rsidR="006828A3" w:rsidRPr="00421225">
        <w:rPr>
          <w:lang w:val="fr-FR"/>
        </w:rPr>
        <w:t xml:space="preserve"> et </w:t>
      </w:r>
      <w:r w:rsidR="00A30B59" w:rsidRPr="00421225">
        <w:rPr>
          <w:noProof/>
          <w:lang w:val="fr-FR"/>
        </w:rPr>
        <w:t>26</w:t>
      </w:r>
      <w:r w:rsidR="006828A3" w:rsidRPr="00421225">
        <w:rPr>
          <w:lang w:val="fr-FR"/>
        </w:rPr>
        <w:t xml:space="preserve"> ci-dessus – </w:t>
      </w:r>
      <w:r w:rsidRPr="00421225">
        <w:rPr>
          <w:lang w:val="fr-FR"/>
        </w:rPr>
        <w:t xml:space="preserve">voir, </w:t>
      </w:r>
      <w:r w:rsidRPr="00421225">
        <w:rPr>
          <w:i/>
          <w:lang w:val="fr-FR"/>
        </w:rPr>
        <w:t>a contrario</w:t>
      </w:r>
      <w:r w:rsidRPr="00421225">
        <w:rPr>
          <w:lang w:val="fr-FR"/>
        </w:rPr>
        <w:t xml:space="preserve">, </w:t>
      </w:r>
      <w:r w:rsidRPr="00421225">
        <w:rPr>
          <w:i/>
          <w:lang w:val="fr-FR"/>
        </w:rPr>
        <w:t>Schatschaschwili</w:t>
      </w:r>
      <w:r w:rsidRPr="00421225">
        <w:rPr>
          <w:lang w:val="fr-FR"/>
        </w:rPr>
        <w:t>, précité, § 158-160, où la Cour a estimé que le risque d</w:t>
      </w:r>
      <w:r w:rsidR="00421225" w:rsidRPr="00421225">
        <w:rPr>
          <w:lang w:val="fr-FR"/>
        </w:rPr>
        <w:t>’</w:t>
      </w:r>
      <w:r w:rsidRPr="00421225">
        <w:rPr>
          <w:lang w:val="fr-FR"/>
        </w:rPr>
        <w:t>absence des témoins au procès était prévisible, compte tenu du fait qu</w:t>
      </w:r>
      <w:r w:rsidR="00421225" w:rsidRPr="00421225">
        <w:rPr>
          <w:lang w:val="fr-FR"/>
        </w:rPr>
        <w:t>’</w:t>
      </w:r>
      <w:r w:rsidRPr="00421225">
        <w:rPr>
          <w:lang w:val="fr-FR"/>
        </w:rPr>
        <w:t>elle</w:t>
      </w:r>
      <w:r w:rsidR="00520980" w:rsidRPr="00421225">
        <w:rPr>
          <w:lang w:val="fr-FR"/>
        </w:rPr>
        <w:t>s</w:t>
      </w:r>
      <w:r w:rsidRPr="00421225">
        <w:rPr>
          <w:lang w:val="fr-FR"/>
        </w:rPr>
        <w:t xml:space="preserve"> </w:t>
      </w:r>
      <w:r w:rsidR="00520980" w:rsidRPr="00421225">
        <w:rPr>
          <w:lang w:val="fr-FR"/>
        </w:rPr>
        <w:t>séjournaient en Allemagne temporairement, qu</w:t>
      </w:r>
      <w:r w:rsidR="00421225" w:rsidRPr="00421225">
        <w:rPr>
          <w:lang w:val="fr-FR"/>
        </w:rPr>
        <w:t>’</w:t>
      </w:r>
      <w:r w:rsidR="00520980" w:rsidRPr="00421225">
        <w:rPr>
          <w:lang w:val="fr-FR"/>
        </w:rPr>
        <w:t>elles avaient exprimé leur souhait de repartir dès que possible dans leur pays et qu</w:t>
      </w:r>
      <w:r w:rsidR="00421225" w:rsidRPr="00421225">
        <w:rPr>
          <w:lang w:val="fr-FR"/>
        </w:rPr>
        <w:t>’</w:t>
      </w:r>
      <w:r w:rsidR="00520980" w:rsidRPr="00421225">
        <w:rPr>
          <w:lang w:val="fr-FR"/>
        </w:rPr>
        <w:t>elles craignaient d</w:t>
      </w:r>
      <w:r w:rsidR="00421225" w:rsidRPr="00421225">
        <w:rPr>
          <w:lang w:val="fr-FR"/>
        </w:rPr>
        <w:t>’</w:t>
      </w:r>
      <w:r w:rsidR="00520980" w:rsidRPr="00421225">
        <w:rPr>
          <w:lang w:val="fr-FR"/>
        </w:rPr>
        <w:t>avoir des problèmes avec la police et de subir des représailles de la part des auteurs de l</w:t>
      </w:r>
      <w:r w:rsidR="00421225" w:rsidRPr="00421225">
        <w:rPr>
          <w:lang w:val="fr-FR"/>
        </w:rPr>
        <w:t>’</w:t>
      </w:r>
      <w:r w:rsidR="00520980" w:rsidRPr="00421225">
        <w:rPr>
          <w:lang w:val="fr-FR"/>
        </w:rPr>
        <w:t>infraction).</w:t>
      </w:r>
    </w:p>
    <w:p w:rsidR="006B7FFC" w:rsidRPr="00421225" w:rsidRDefault="006B7FFC" w:rsidP="00421225">
      <w:pPr>
        <w:pStyle w:val="ECHRHeading5"/>
        <w:rPr>
          <w:lang w:val="fr-FR"/>
        </w:rPr>
      </w:pPr>
      <w:r w:rsidRPr="00421225">
        <w:rPr>
          <w:lang w:val="fr-FR"/>
        </w:rPr>
        <w:lastRenderedPageBreak/>
        <w:t>iv.  Appréciation de l</w:t>
      </w:r>
      <w:r w:rsidR="00421225" w:rsidRPr="00421225">
        <w:rPr>
          <w:lang w:val="fr-FR"/>
        </w:rPr>
        <w:t>’</w:t>
      </w:r>
      <w:r w:rsidRPr="00421225">
        <w:rPr>
          <w:lang w:val="fr-FR"/>
        </w:rPr>
        <w:t>équité de la procédure dans son ensemble</w:t>
      </w:r>
    </w:p>
    <w:p w:rsidR="006B7FFC" w:rsidRPr="00421225" w:rsidRDefault="003D633A"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62</w:t>
      </w:r>
      <w:r w:rsidRPr="00421225">
        <w:rPr>
          <w:lang w:val="fr-FR"/>
        </w:rPr>
        <w:fldChar w:fldCharType="end"/>
      </w:r>
      <w:r w:rsidRPr="00421225">
        <w:rPr>
          <w:lang w:val="fr-FR"/>
        </w:rPr>
        <w:t>.  </w:t>
      </w:r>
      <w:r w:rsidR="00C90B8F" w:rsidRPr="00421225">
        <w:rPr>
          <w:lang w:val="fr-FR"/>
        </w:rPr>
        <w:t>Afin de se livrer à une appréciation de l</w:t>
      </w:r>
      <w:r w:rsidR="00421225" w:rsidRPr="00421225">
        <w:rPr>
          <w:lang w:val="fr-FR"/>
        </w:rPr>
        <w:t>’</w:t>
      </w:r>
      <w:r w:rsidR="00C90B8F" w:rsidRPr="00421225">
        <w:rPr>
          <w:lang w:val="fr-FR"/>
        </w:rPr>
        <w:t>équité de la procédure dans son ensemble, la Cour a eu égard aux éléments compensateurs présents en l</w:t>
      </w:r>
      <w:r w:rsidR="00421225" w:rsidRPr="00421225">
        <w:rPr>
          <w:lang w:val="fr-FR"/>
        </w:rPr>
        <w:t>’</w:t>
      </w:r>
      <w:r w:rsidR="00C90B8F" w:rsidRPr="00421225">
        <w:rPr>
          <w:lang w:val="fr-FR"/>
        </w:rPr>
        <w:t>espèce, considérés dans leur globalité à la lumière de sa conclusion selon laquelle la déposition de B n</w:t>
      </w:r>
      <w:r w:rsidR="00421225" w:rsidRPr="00421225">
        <w:rPr>
          <w:lang w:val="fr-FR"/>
        </w:rPr>
        <w:t>’</w:t>
      </w:r>
      <w:r w:rsidR="00C90B8F" w:rsidRPr="00421225">
        <w:rPr>
          <w:lang w:val="fr-FR"/>
        </w:rPr>
        <w:t xml:space="preserve">a pas été déterminante pour la condamnation du requérant (paragraphe </w:t>
      </w:r>
      <w:r w:rsidR="00A30B59" w:rsidRPr="00421225">
        <w:rPr>
          <w:noProof/>
          <w:lang w:val="fr-FR"/>
        </w:rPr>
        <w:t>55</w:t>
      </w:r>
      <w:r w:rsidR="00C90B8F" w:rsidRPr="00421225">
        <w:rPr>
          <w:lang w:val="fr-FR"/>
        </w:rPr>
        <w:t xml:space="preserve"> ci-dessus). Elle estime que ces éléments étaient de nature à contrebalancer les difficultés rencontrées par la défense, et ce en dépit du fait </w:t>
      </w:r>
      <w:r w:rsidR="00C97B3B" w:rsidRPr="00421225">
        <w:rPr>
          <w:snapToGrid w:val="0"/>
          <w:lang w:val="fr-FR"/>
        </w:rPr>
        <w:t>que les juridictions italiennes n</w:t>
      </w:r>
      <w:r w:rsidR="00421225" w:rsidRPr="00421225">
        <w:rPr>
          <w:snapToGrid w:val="0"/>
          <w:lang w:val="fr-FR"/>
        </w:rPr>
        <w:t>’</w:t>
      </w:r>
      <w:r w:rsidR="00C97B3B" w:rsidRPr="00421225">
        <w:rPr>
          <w:snapToGrid w:val="0"/>
          <w:lang w:val="fr-FR"/>
        </w:rPr>
        <w:t>ont pas déployé tous les efforts raisonnablement nécessaires pour assurer la comparution de B</w:t>
      </w:r>
      <w:r w:rsidR="00C90B8F" w:rsidRPr="00421225">
        <w:rPr>
          <w:lang w:val="fr-FR"/>
        </w:rPr>
        <w:t xml:space="preserve"> </w:t>
      </w:r>
      <w:r w:rsidR="00C97B3B" w:rsidRPr="00421225">
        <w:rPr>
          <w:lang w:val="fr-FR"/>
        </w:rPr>
        <w:t>(paragraphe</w:t>
      </w:r>
      <w:r w:rsidR="00F233B1" w:rsidRPr="00421225">
        <w:rPr>
          <w:lang w:val="fr-FR"/>
        </w:rPr>
        <w:t> </w:t>
      </w:r>
      <w:r w:rsidR="00A30B59" w:rsidRPr="00421225">
        <w:rPr>
          <w:noProof/>
          <w:snapToGrid w:val="0"/>
          <w:lang w:val="fr-FR"/>
        </w:rPr>
        <w:t>51</w:t>
      </w:r>
      <w:r w:rsidR="00C97B3B" w:rsidRPr="00421225">
        <w:rPr>
          <w:lang w:val="fr-FR"/>
        </w:rPr>
        <w:t xml:space="preserve"> ci-dessus).</w:t>
      </w:r>
    </w:p>
    <w:p w:rsidR="006B7FFC" w:rsidRPr="00421225" w:rsidRDefault="006B7FFC"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63</w:t>
      </w:r>
      <w:r w:rsidRPr="00421225">
        <w:rPr>
          <w:lang w:val="fr-FR"/>
        </w:rPr>
        <w:fldChar w:fldCharType="end"/>
      </w:r>
      <w:r w:rsidRPr="00421225">
        <w:rPr>
          <w:lang w:val="fr-FR"/>
        </w:rPr>
        <w:t>.  Dès lors, la Cour estime que le fait que le requérant n</w:t>
      </w:r>
      <w:r w:rsidR="00421225" w:rsidRPr="00421225">
        <w:rPr>
          <w:lang w:val="fr-FR"/>
        </w:rPr>
        <w:t>’</w:t>
      </w:r>
      <w:r w:rsidRPr="00421225">
        <w:rPr>
          <w:lang w:val="fr-FR"/>
        </w:rPr>
        <w:t>a pu, à aucun stade de la procédure, interroger ou faire interroger le témoin B n</w:t>
      </w:r>
      <w:r w:rsidR="00421225" w:rsidRPr="00421225">
        <w:rPr>
          <w:lang w:val="fr-FR"/>
        </w:rPr>
        <w:t>’</w:t>
      </w:r>
      <w:r w:rsidRPr="00421225">
        <w:rPr>
          <w:lang w:val="fr-FR"/>
        </w:rPr>
        <w:t>a pas rendu inéquitable la procédure dans son ensemble.</w:t>
      </w:r>
    </w:p>
    <w:p w:rsidR="006B7FFC" w:rsidRPr="00421225" w:rsidRDefault="006B7FFC" w:rsidP="00421225">
      <w:pPr>
        <w:pStyle w:val="ECHRPara"/>
        <w:rPr>
          <w:lang w:val="fr-FR"/>
        </w:rPr>
      </w:pPr>
      <w:r w:rsidRPr="00421225">
        <w:rPr>
          <w:lang w:val="fr-FR"/>
        </w:rPr>
        <w:fldChar w:fldCharType="begin"/>
      </w:r>
      <w:r w:rsidRPr="00421225">
        <w:rPr>
          <w:lang w:val="fr-FR"/>
        </w:rPr>
        <w:instrText xml:space="preserve"> SEQ level0 \*arabic </w:instrText>
      </w:r>
      <w:r w:rsidRPr="00421225">
        <w:rPr>
          <w:lang w:val="fr-FR"/>
        </w:rPr>
        <w:fldChar w:fldCharType="separate"/>
      </w:r>
      <w:r w:rsidR="00421225" w:rsidRPr="00421225">
        <w:rPr>
          <w:noProof/>
          <w:lang w:val="fr-FR"/>
        </w:rPr>
        <w:t>64</w:t>
      </w:r>
      <w:r w:rsidRPr="00421225">
        <w:rPr>
          <w:lang w:val="fr-FR"/>
        </w:rPr>
        <w:fldChar w:fldCharType="end"/>
      </w:r>
      <w:r w:rsidRPr="00421225">
        <w:rPr>
          <w:lang w:val="fr-FR"/>
        </w:rPr>
        <w:t>.  Partant, il n</w:t>
      </w:r>
      <w:r w:rsidR="00421225" w:rsidRPr="00421225">
        <w:rPr>
          <w:lang w:val="fr-FR"/>
        </w:rPr>
        <w:t>’</w:t>
      </w:r>
      <w:r w:rsidRPr="00421225">
        <w:rPr>
          <w:lang w:val="fr-FR"/>
        </w:rPr>
        <w:t>y a pas eu violation de l</w:t>
      </w:r>
      <w:r w:rsidR="00421225" w:rsidRPr="00421225">
        <w:rPr>
          <w:lang w:val="fr-FR"/>
        </w:rPr>
        <w:t>’</w:t>
      </w:r>
      <w:r w:rsidRPr="00421225">
        <w:rPr>
          <w:lang w:val="fr-FR"/>
        </w:rPr>
        <w:t>article 6 §§ 1 et 3 d) de la Convention.</w:t>
      </w:r>
    </w:p>
    <w:p w:rsidR="00E77CB3" w:rsidRPr="00421225" w:rsidRDefault="00E77CB3" w:rsidP="00421225">
      <w:pPr>
        <w:pStyle w:val="ECHRTitle1"/>
        <w:rPr>
          <w:lang w:val="fr-FR"/>
        </w:rPr>
      </w:pPr>
      <w:r w:rsidRPr="00421225">
        <w:rPr>
          <w:lang w:val="fr-FR"/>
        </w:rPr>
        <w:t>PAR CES MOTIFS, LA COUR</w:t>
      </w:r>
      <w:r w:rsidR="006B4C8A" w:rsidRPr="00421225">
        <w:rPr>
          <w:lang w:val="fr-FR"/>
        </w:rPr>
        <w:t>, À L</w:t>
      </w:r>
      <w:r w:rsidR="00421225" w:rsidRPr="00421225">
        <w:rPr>
          <w:lang w:val="fr-FR"/>
        </w:rPr>
        <w:t>’</w:t>
      </w:r>
      <w:r w:rsidR="006B4C8A" w:rsidRPr="00421225">
        <w:rPr>
          <w:lang w:val="fr-FR"/>
        </w:rPr>
        <w:t>UNANIMITÉ,</w:t>
      </w:r>
    </w:p>
    <w:p w:rsidR="00E77CB3" w:rsidRPr="00421225" w:rsidRDefault="00FB2B45" w:rsidP="00421225">
      <w:pPr>
        <w:pStyle w:val="JuList"/>
        <w:rPr>
          <w:b/>
          <w:lang w:val="fr-FR"/>
        </w:rPr>
      </w:pPr>
      <w:r w:rsidRPr="00421225">
        <w:rPr>
          <w:lang w:val="fr-FR"/>
        </w:rPr>
        <w:t>1.  </w:t>
      </w:r>
      <w:r w:rsidRPr="00421225">
        <w:rPr>
          <w:i/>
          <w:lang w:val="fr-FR"/>
        </w:rPr>
        <w:t>Déclare</w:t>
      </w:r>
      <w:r w:rsidRPr="00421225">
        <w:rPr>
          <w:lang w:val="fr-FR"/>
        </w:rPr>
        <w:t xml:space="preserve"> </w:t>
      </w:r>
      <w:r w:rsidR="006B4C8A" w:rsidRPr="00421225">
        <w:rPr>
          <w:lang w:val="fr-FR"/>
        </w:rPr>
        <w:t>la requête recevable</w:t>
      </w:r>
      <w:r w:rsidRPr="00421225">
        <w:rPr>
          <w:lang w:val="fr-FR"/>
        </w:rPr>
        <w:t> ;</w:t>
      </w:r>
    </w:p>
    <w:p w:rsidR="00E77CB3" w:rsidRPr="00421225" w:rsidRDefault="00E77CB3" w:rsidP="00421225">
      <w:pPr>
        <w:pStyle w:val="JuList"/>
        <w:rPr>
          <w:lang w:val="fr-FR"/>
        </w:rPr>
      </w:pPr>
    </w:p>
    <w:p w:rsidR="00E77CB3" w:rsidRPr="00421225" w:rsidRDefault="002D68D3" w:rsidP="00421225">
      <w:pPr>
        <w:pStyle w:val="JuList"/>
        <w:rPr>
          <w:lang w:val="fr-FR"/>
        </w:rPr>
      </w:pPr>
      <w:r w:rsidRPr="00421225">
        <w:rPr>
          <w:lang w:val="fr-FR"/>
        </w:rPr>
        <w:t>2</w:t>
      </w:r>
      <w:r w:rsidR="00E77CB3" w:rsidRPr="00421225">
        <w:rPr>
          <w:lang w:val="fr-FR"/>
        </w:rPr>
        <w:t>.  </w:t>
      </w:r>
      <w:r w:rsidR="00E77CB3" w:rsidRPr="00421225">
        <w:rPr>
          <w:i/>
          <w:lang w:val="fr-FR"/>
        </w:rPr>
        <w:t>Dit</w:t>
      </w:r>
      <w:r w:rsidR="00E77CB3" w:rsidRPr="00421225">
        <w:rPr>
          <w:lang w:val="fr-FR"/>
        </w:rPr>
        <w:t xml:space="preserve"> qu</w:t>
      </w:r>
      <w:r w:rsidR="00421225" w:rsidRPr="00421225">
        <w:rPr>
          <w:lang w:val="fr-FR"/>
        </w:rPr>
        <w:t>’</w:t>
      </w:r>
      <w:r w:rsidR="00E77CB3" w:rsidRPr="00421225">
        <w:rPr>
          <w:lang w:val="fr-FR"/>
        </w:rPr>
        <w:t xml:space="preserve">il </w:t>
      </w:r>
      <w:r w:rsidR="0046638A" w:rsidRPr="00421225">
        <w:rPr>
          <w:lang w:val="fr-FR"/>
        </w:rPr>
        <w:t>n</w:t>
      </w:r>
      <w:r w:rsidR="00421225" w:rsidRPr="00421225">
        <w:rPr>
          <w:lang w:val="fr-FR"/>
        </w:rPr>
        <w:t>’</w:t>
      </w:r>
      <w:r w:rsidR="00E77CB3" w:rsidRPr="00421225">
        <w:rPr>
          <w:lang w:val="fr-FR"/>
        </w:rPr>
        <w:t xml:space="preserve">y a </w:t>
      </w:r>
      <w:r w:rsidR="0046638A" w:rsidRPr="00421225">
        <w:rPr>
          <w:lang w:val="fr-FR"/>
        </w:rPr>
        <w:t xml:space="preserve">pas </w:t>
      </w:r>
      <w:r w:rsidR="00E77CB3" w:rsidRPr="00421225">
        <w:rPr>
          <w:lang w:val="fr-FR"/>
        </w:rPr>
        <w:t>eu violation de l</w:t>
      </w:r>
      <w:r w:rsidR="00421225" w:rsidRPr="00421225">
        <w:rPr>
          <w:lang w:val="fr-FR"/>
        </w:rPr>
        <w:t>’</w:t>
      </w:r>
      <w:r w:rsidR="00E77CB3" w:rsidRPr="00421225">
        <w:rPr>
          <w:lang w:val="fr-FR"/>
        </w:rPr>
        <w:t xml:space="preserve">article </w:t>
      </w:r>
      <w:r w:rsidRPr="00421225">
        <w:rPr>
          <w:lang w:val="fr-FR"/>
        </w:rPr>
        <w:t>6 §§ 1 et 3 d)</w:t>
      </w:r>
      <w:r w:rsidR="00E77CB3" w:rsidRPr="00421225">
        <w:rPr>
          <w:lang w:val="fr-FR"/>
        </w:rPr>
        <w:t xml:space="preserve"> de la Convention</w:t>
      </w:r>
      <w:r w:rsidRPr="00421225">
        <w:rPr>
          <w:lang w:val="fr-FR"/>
        </w:rPr>
        <w:t>.</w:t>
      </w:r>
    </w:p>
    <w:p w:rsidR="00E77CB3" w:rsidRPr="00421225" w:rsidRDefault="00E77CB3" w:rsidP="00421225">
      <w:pPr>
        <w:pStyle w:val="JuParaLast"/>
        <w:rPr>
          <w:lang w:val="fr-FR"/>
        </w:rPr>
      </w:pPr>
      <w:r w:rsidRPr="00421225">
        <w:rPr>
          <w:lang w:val="fr-FR"/>
        </w:rPr>
        <w:t>Fait en françai</w:t>
      </w:r>
      <w:r w:rsidR="00421225" w:rsidRPr="00421225">
        <w:rPr>
          <w:lang w:val="fr-FR"/>
        </w:rPr>
        <w:t xml:space="preserve">s, puis communiqué par écrit le </w:t>
      </w:r>
      <w:r w:rsidR="00906439" w:rsidRPr="00421225">
        <w:rPr>
          <w:lang w:val="fr-FR"/>
        </w:rPr>
        <w:t>23 juin 2016</w:t>
      </w:r>
      <w:r w:rsidRPr="00421225">
        <w:rPr>
          <w:lang w:val="fr-FR"/>
        </w:rPr>
        <w:t>, en application de l</w:t>
      </w:r>
      <w:r w:rsidR="00421225" w:rsidRPr="00421225">
        <w:rPr>
          <w:lang w:val="fr-FR"/>
        </w:rPr>
        <w:t>’</w:t>
      </w:r>
      <w:r w:rsidRPr="00421225">
        <w:rPr>
          <w:lang w:val="fr-FR"/>
        </w:rPr>
        <w:t>article 77 §§ 2 et 3 du règlement</w:t>
      </w:r>
      <w:r w:rsidR="00AC0824" w:rsidRPr="00421225">
        <w:rPr>
          <w:lang w:val="fr-FR"/>
        </w:rPr>
        <w:t xml:space="preserve"> de la Cour</w:t>
      </w:r>
      <w:r w:rsidRPr="00421225">
        <w:rPr>
          <w:lang w:val="fr-FR"/>
        </w:rPr>
        <w:t>.</w:t>
      </w:r>
    </w:p>
    <w:p w:rsidR="004D15F3" w:rsidRPr="00421225" w:rsidRDefault="006B4C8A" w:rsidP="00421225">
      <w:pPr>
        <w:pStyle w:val="JuSigned"/>
        <w:tabs>
          <w:tab w:val="clear" w:pos="6407"/>
          <w:tab w:val="center" w:pos="5954"/>
        </w:tabs>
        <w:rPr>
          <w:lang w:val="fr-FR"/>
        </w:rPr>
      </w:pPr>
      <w:r w:rsidRPr="00421225">
        <w:rPr>
          <w:lang w:val="fr-FR"/>
        </w:rPr>
        <w:tab/>
      </w:r>
      <w:r w:rsidR="00F63A2D" w:rsidRPr="00421225">
        <w:rPr>
          <w:lang w:val="fr-FR"/>
        </w:rPr>
        <w:t>A</w:t>
      </w:r>
      <w:r w:rsidR="00352345" w:rsidRPr="00421225">
        <w:rPr>
          <w:lang w:val="fr-FR"/>
        </w:rPr>
        <w:t>bel</w:t>
      </w:r>
      <w:r w:rsidR="00F63A2D" w:rsidRPr="00421225">
        <w:rPr>
          <w:lang w:val="fr-FR"/>
        </w:rPr>
        <w:t xml:space="preserve"> </w:t>
      </w:r>
      <w:r w:rsidR="00352345" w:rsidRPr="00421225">
        <w:rPr>
          <w:lang w:val="fr-FR"/>
        </w:rPr>
        <w:t>Campos</w:t>
      </w:r>
      <w:r w:rsidRPr="00421225">
        <w:rPr>
          <w:lang w:val="fr-FR"/>
        </w:rPr>
        <w:t xml:space="preserve"> </w:t>
      </w:r>
      <w:r w:rsidR="00E77CB3" w:rsidRPr="00421225">
        <w:rPr>
          <w:lang w:val="fr-FR"/>
        </w:rPr>
        <w:tab/>
      </w:r>
      <w:r w:rsidRPr="00421225">
        <w:rPr>
          <w:lang w:val="fr-FR"/>
        </w:rPr>
        <w:t>Mirjana Lazarova Trajkovska</w:t>
      </w:r>
      <w:r w:rsidR="00E77CB3" w:rsidRPr="00421225">
        <w:rPr>
          <w:lang w:val="fr-FR"/>
        </w:rPr>
        <w:br/>
      </w:r>
      <w:r w:rsidR="00E77CB3" w:rsidRPr="00421225">
        <w:rPr>
          <w:lang w:val="fr-FR"/>
        </w:rPr>
        <w:tab/>
      </w:r>
      <w:r w:rsidRPr="00421225">
        <w:rPr>
          <w:lang w:val="fr-FR"/>
        </w:rPr>
        <w:t>Greffie</w:t>
      </w:r>
      <w:r w:rsidR="002D68D3" w:rsidRPr="00421225">
        <w:rPr>
          <w:lang w:val="fr-FR"/>
        </w:rPr>
        <w:t>r</w:t>
      </w:r>
      <w:r w:rsidR="00E77CB3" w:rsidRPr="00421225">
        <w:rPr>
          <w:lang w:val="fr-FR"/>
        </w:rPr>
        <w:tab/>
      </w:r>
      <w:r w:rsidRPr="00421225">
        <w:rPr>
          <w:lang w:val="fr-FR"/>
        </w:rPr>
        <w:t>Présidente</w:t>
      </w:r>
    </w:p>
    <w:p w:rsidR="00421225" w:rsidRPr="00421225" w:rsidRDefault="00421225" w:rsidP="00421225">
      <w:pPr>
        <w:pStyle w:val="JuParaLast"/>
        <w:rPr>
          <w:lang w:val="fr-FR"/>
        </w:rPr>
      </w:pPr>
    </w:p>
    <w:sectPr w:rsidR="00421225" w:rsidRPr="00421225" w:rsidSect="0006792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3E" w:rsidRPr="0045067D" w:rsidRDefault="00AE7A3E" w:rsidP="00E77CB3">
      <w:pPr>
        <w:rPr>
          <w:lang w:val="fr-FR"/>
        </w:rPr>
      </w:pPr>
      <w:r w:rsidRPr="0045067D">
        <w:rPr>
          <w:lang w:val="fr-FR"/>
        </w:rPr>
        <w:separator/>
      </w:r>
    </w:p>
  </w:endnote>
  <w:endnote w:type="continuationSeparator" w:id="0">
    <w:p w:rsidR="00AE7A3E" w:rsidRPr="0045067D" w:rsidRDefault="00AE7A3E"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25" w:rsidRPr="00150BFA" w:rsidRDefault="00067925" w:rsidP="00067925">
    <w:pPr>
      <w:jc w:val="center"/>
    </w:pPr>
    <w:r>
      <w:rPr>
        <w:noProof/>
        <w:lang w:val="it-IT" w:eastAsia="it-IT"/>
      </w:rPr>
      <w:drawing>
        <wp:inline distT="0" distB="0" distL="0" distR="0" wp14:anchorId="58A0DED3" wp14:editId="2E912F34">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67925" w:rsidRDefault="000679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3E" w:rsidRPr="0045067D" w:rsidRDefault="00AE7A3E" w:rsidP="00E77CB3">
      <w:pPr>
        <w:rPr>
          <w:lang w:val="fr-FR"/>
        </w:rPr>
      </w:pPr>
      <w:r w:rsidRPr="0045067D">
        <w:rPr>
          <w:lang w:val="fr-FR"/>
        </w:rPr>
        <w:separator/>
      </w:r>
    </w:p>
  </w:footnote>
  <w:footnote w:type="continuationSeparator" w:id="0">
    <w:p w:rsidR="00AE7A3E" w:rsidRPr="0045067D" w:rsidRDefault="00AE7A3E"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25" w:rsidRPr="00067925" w:rsidRDefault="00067925" w:rsidP="0006792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25" w:rsidRPr="00A45145" w:rsidRDefault="00067925" w:rsidP="00067925">
    <w:pPr>
      <w:jc w:val="center"/>
    </w:pPr>
    <w:r>
      <w:rPr>
        <w:noProof/>
        <w:lang w:val="it-IT" w:eastAsia="it-IT"/>
      </w:rPr>
      <w:drawing>
        <wp:inline distT="0" distB="0" distL="0" distR="0" wp14:anchorId="68CBA070" wp14:editId="66D6C718">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67925" w:rsidRDefault="0006792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25" w:rsidRPr="00EF0A2E" w:rsidRDefault="00067925"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8355BB">
      <w:rPr>
        <w:rStyle w:val="Numeropagina"/>
        <w:noProof/>
      </w:rPr>
      <w:t>14</w:t>
    </w:r>
    <w:r>
      <w:rPr>
        <w:rStyle w:val="Numeropagina"/>
      </w:rPr>
      <w:fldChar w:fldCharType="end"/>
    </w:r>
    <w:r w:rsidRPr="00EF0A2E">
      <w:rPr>
        <w:rStyle w:val="Numeropagina"/>
      </w:rPr>
      <w:tab/>
    </w:r>
    <w:r>
      <w:rPr>
        <w:noProof/>
      </w:rPr>
      <w:t>ARRÊT</w:t>
    </w:r>
    <w:r w:rsidRPr="00EF0A2E">
      <w:t xml:space="preserve"> </w:t>
    </w:r>
    <w:r>
      <w:t>BEN MOUMEN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25" w:rsidRPr="0045067D" w:rsidRDefault="00067925" w:rsidP="00C63990">
    <w:pPr>
      <w:pStyle w:val="ECHRHeader"/>
      <w:rPr>
        <w:lang w:val="fr-FR"/>
      </w:rPr>
    </w:pPr>
    <w:r w:rsidRPr="0045067D">
      <w:rPr>
        <w:lang w:val="fr-FR"/>
      </w:rPr>
      <w:tab/>
    </w:r>
    <w:r>
      <w:rPr>
        <w:noProof/>
      </w:rPr>
      <w:t>ARRÊT</w:t>
    </w:r>
    <w:r w:rsidRPr="00EF0A2E">
      <w:t xml:space="preserve"> </w:t>
    </w:r>
    <w:r>
      <w:t>BEN MOUMEN c. ITALIE</w:t>
    </w:r>
    <w:r w:rsidRPr="00EF0A2E">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8355BB">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6B4C8A"/>
    <w:rsid w:val="000041F8"/>
    <w:rsid w:val="000042A8"/>
    <w:rsid w:val="00004308"/>
    <w:rsid w:val="00005BF0"/>
    <w:rsid w:val="00007154"/>
    <w:rsid w:val="000103AE"/>
    <w:rsid w:val="00011D69"/>
    <w:rsid w:val="00012AD3"/>
    <w:rsid w:val="00015C2D"/>
    <w:rsid w:val="00015F00"/>
    <w:rsid w:val="00022C1D"/>
    <w:rsid w:val="00034987"/>
    <w:rsid w:val="00042E3B"/>
    <w:rsid w:val="00044F36"/>
    <w:rsid w:val="00047D79"/>
    <w:rsid w:val="000602DF"/>
    <w:rsid w:val="00061B05"/>
    <w:rsid w:val="000632D5"/>
    <w:rsid w:val="000644EE"/>
    <w:rsid w:val="00066A71"/>
    <w:rsid w:val="00067925"/>
    <w:rsid w:val="000925AD"/>
    <w:rsid w:val="000A24EB"/>
    <w:rsid w:val="000B6923"/>
    <w:rsid w:val="000C22F7"/>
    <w:rsid w:val="000C5F3C"/>
    <w:rsid w:val="000C6DCC"/>
    <w:rsid w:val="000D47AA"/>
    <w:rsid w:val="000D721F"/>
    <w:rsid w:val="000E069B"/>
    <w:rsid w:val="000E0E82"/>
    <w:rsid w:val="000E1DC5"/>
    <w:rsid w:val="000E223F"/>
    <w:rsid w:val="000E7D45"/>
    <w:rsid w:val="000F00EF"/>
    <w:rsid w:val="000F7851"/>
    <w:rsid w:val="00104E23"/>
    <w:rsid w:val="00111B0C"/>
    <w:rsid w:val="00120D6C"/>
    <w:rsid w:val="001257EC"/>
    <w:rsid w:val="00133D33"/>
    <w:rsid w:val="00134D64"/>
    <w:rsid w:val="00135A30"/>
    <w:rsid w:val="0013612C"/>
    <w:rsid w:val="00137FF6"/>
    <w:rsid w:val="00141650"/>
    <w:rsid w:val="001516A3"/>
    <w:rsid w:val="0016174F"/>
    <w:rsid w:val="00162A12"/>
    <w:rsid w:val="0016611E"/>
    <w:rsid w:val="00166530"/>
    <w:rsid w:val="00182C0B"/>
    <w:rsid w:val="001832BD"/>
    <w:rsid w:val="001943B5"/>
    <w:rsid w:val="00195134"/>
    <w:rsid w:val="001A145B"/>
    <w:rsid w:val="001A2E04"/>
    <w:rsid w:val="001A674C"/>
    <w:rsid w:val="001B3B24"/>
    <w:rsid w:val="001C0F98"/>
    <w:rsid w:val="001C2A42"/>
    <w:rsid w:val="001C41FA"/>
    <w:rsid w:val="001D52DC"/>
    <w:rsid w:val="001D63ED"/>
    <w:rsid w:val="001D7348"/>
    <w:rsid w:val="001E035B"/>
    <w:rsid w:val="001E0961"/>
    <w:rsid w:val="001E3EAE"/>
    <w:rsid w:val="001E6F32"/>
    <w:rsid w:val="001F2145"/>
    <w:rsid w:val="001F4044"/>
    <w:rsid w:val="001F4E43"/>
    <w:rsid w:val="001F6262"/>
    <w:rsid w:val="001F67B0"/>
    <w:rsid w:val="001F7B3D"/>
    <w:rsid w:val="00205F9F"/>
    <w:rsid w:val="00210338"/>
    <w:rsid w:val="002115FC"/>
    <w:rsid w:val="0021423C"/>
    <w:rsid w:val="00230D00"/>
    <w:rsid w:val="00231DF7"/>
    <w:rsid w:val="00231FD1"/>
    <w:rsid w:val="002332B4"/>
    <w:rsid w:val="002339E0"/>
    <w:rsid w:val="00233CF8"/>
    <w:rsid w:val="0023575D"/>
    <w:rsid w:val="00237148"/>
    <w:rsid w:val="0024222D"/>
    <w:rsid w:val="00244B0E"/>
    <w:rsid w:val="00244F6C"/>
    <w:rsid w:val="002532C5"/>
    <w:rsid w:val="00260C03"/>
    <w:rsid w:val="0026540E"/>
    <w:rsid w:val="00275123"/>
    <w:rsid w:val="00282240"/>
    <w:rsid w:val="00284F08"/>
    <w:rsid w:val="00284F12"/>
    <w:rsid w:val="00291379"/>
    <w:rsid w:val="0029219D"/>
    <w:rsid w:val="002948AD"/>
    <w:rsid w:val="002A01CC"/>
    <w:rsid w:val="002A5AC0"/>
    <w:rsid w:val="002A61B1"/>
    <w:rsid w:val="002A663C"/>
    <w:rsid w:val="002B1A9C"/>
    <w:rsid w:val="002B444B"/>
    <w:rsid w:val="002B5887"/>
    <w:rsid w:val="002C0E27"/>
    <w:rsid w:val="002C3040"/>
    <w:rsid w:val="002D022D"/>
    <w:rsid w:val="002D23B6"/>
    <w:rsid w:val="002D24BB"/>
    <w:rsid w:val="002D68D3"/>
    <w:rsid w:val="002E02CB"/>
    <w:rsid w:val="002F2AF7"/>
    <w:rsid w:val="002F7E1C"/>
    <w:rsid w:val="00301A75"/>
    <w:rsid w:val="00302F70"/>
    <w:rsid w:val="0030336F"/>
    <w:rsid w:val="0030375E"/>
    <w:rsid w:val="00312A30"/>
    <w:rsid w:val="00320F72"/>
    <w:rsid w:val="0032463E"/>
    <w:rsid w:val="00326224"/>
    <w:rsid w:val="00337EE4"/>
    <w:rsid w:val="00340FFD"/>
    <w:rsid w:val="003506B1"/>
    <w:rsid w:val="00352345"/>
    <w:rsid w:val="00354F8C"/>
    <w:rsid w:val="00356AC7"/>
    <w:rsid w:val="003609FA"/>
    <w:rsid w:val="003710C8"/>
    <w:rsid w:val="003750BE"/>
    <w:rsid w:val="00387B9D"/>
    <w:rsid w:val="00390C5F"/>
    <w:rsid w:val="0039364F"/>
    <w:rsid w:val="003954DB"/>
    <w:rsid w:val="00396686"/>
    <w:rsid w:val="0039778E"/>
    <w:rsid w:val="003B2814"/>
    <w:rsid w:val="003B4941"/>
    <w:rsid w:val="003C5714"/>
    <w:rsid w:val="003C6B9F"/>
    <w:rsid w:val="003C6E2A"/>
    <w:rsid w:val="003D0299"/>
    <w:rsid w:val="003D633A"/>
    <w:rsid w:val="003E6D80"/>
    <w:rsid w:val="003F05FA"/>
    <w:rsid w:val="003F244A"/>
    <w:rsid w:val="003F30B8"/>
    <w:rsid w:val="003F4C45"/>
    <w:rsid w:val="003F5F7B"/>
    <w:rsid w:val="003F7D64"/>
    <w:rsid w:val="00414300"/>
    <w:rsid w:val="004147EA"/>
    <w:rsid w:val="00421225"/>
    <w:rsid w:val="00425BCA"/>
    <w:rsid w:val="00425C67"/>
    <w:rsid w:val="00427E7A"/>
    <w:rsid w:val="00434EC4"/>
    <w:rsid w:val="00436C49"/>
    <w:rsid w:val="00445366"/>
    <w:rsid w:val="00447F5B"/>
    <w:rsid w:val="0045067D"/>
    <w:rsid w:val="00461DB0"/>
    <w:rsid w:val="00463926"/>
    <w:rsid w:val="00464C9A"/>
    <w:rsid w:val="0046638A"/>
    <w:rsid w:val="004741F5"/>
    <w:rsid w:val="00474F3D"/>
    <w:rsid w:val="00477E3A"/>
    <w:rsid w:val="00483E5F"/>
    <w:rsid w:val="00485FF9"/>
    <w:rsid w:val="004907F0"/>
    <w:rsid w:val="0049140B"/>
    <w:rsid w:val="004923A5"/>
    <w:rsid w:val="00496BFB"/>
    <w:rsid w:val="004A15C7"/>
    <w:rsid w:val="004B013B"/>
    <w:rsid w:val="004B112B"/>
    <w:rsid w:val="004C01E4"/>
    <w:rsid w:val="004C086C"/>
    <w:rsid w:val="004C1101"/>
    <w:rsid w:val="004C1F56"/>
    <w:rsid w:val="004C27BC"/>
    <w:rsid w:val="004D15F3"/>
    <w:rsid w:val="004D5311"/>
    <w:rsid w:val="004D5DCC"/>
    <w:rsid w:val="004F10AF"/>
    <w:rsid w:val="004F11A4"/>
    <w:rsid w:val="004F2389"/>
    <w:rsid w:val="004F2979"/>
    <w:rsid w:val="004F304D"/>
    <w:rsid w:val="004F61BE"/>
    <w:rsid w:val="004F66B1"/>
    <w:rsid w:val="00511C07"/>
    <w:rsid w:val="005173A6"/>
    <w:rsid w:val="00520535"/>
    <w:rsid w:val="00520980"/>
    <w:rsid w:val="00520BAA"/>
    <w:rsid w:val="00523CDA"/>
    <w:rsid w:val="00525208"/>
    <w:rsid w:val="005257A5"/>
    <w:rsid w:val="005264C0"/>
    <w:rsid w:val="00526A8A"/>
    <w:rsid w:val="00531DF2"/>
    <w:rsid w:val="005442EE"/>
    <w:rsid w:val="00547353"/>
    <w:rsid w:val="005474E7"/>
    <w:rsid w:val="005512A3"/>
    <w:rsid w:val="005536D0"/>
    <w:rsid w:val="005578CE"/>
    <w:rsid w:val="00562781"/>
    <w:rsid w:val="0057271C"/>
    <w:rsid w:val="00572845"/>
    <w:rsid w:val="00574C83"/>
    <w:rsid w:val="005843A7"/>
    <w:rsid w:val="00592772"/>
    <w:rsid w:val="0059574A"/>
    <w:rsid w:val="00596468"/>
    <w:rsid w:val="005A02CB"/>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37C6"/>
    <w:rsid w:val="005F51E1"/>
    <w:rsid w:val="005F761F"/>
    <w:rsid w:val="00602A24"/>
    <w:rsid w:val="00611C80"/>
    <w:rsid w:val="00620692"/>
    <w:rsid w:val="006242CA"/>
    <w:rsid w:val="00624D4F"/>
    <w:rsid w:val="00627507"/>
    <w:rsid w:val="00633717"/>
    <w:rsid w:val="006344E1"/>
    <w:rsid w:val="006406D1"/>
    <w:rsid w:val="0065298D"/>
    <w:rsid w:val="006545C4"/>
    <w:rsid w:val="00657CE1"/>
    <w:rsid w:val="00661971"/>
    <w:rsid w:val="00661CE8"/>
    <w:rsid w:val="006623D9"/>
    <w:rsid w:val="0066550C"/>
    <w:rsid w:val="00667B26"/>
    <w:rsid w:val="006716F2"/>
    <w:rsid w:val="00682194"/>
    <w:rsid w:val="006828A3"/>
    <w:rsid w:val="00682BF2"/>
    <w:rsid w:val="006859CE"/>
    <w:rsid w:val="00691270"/>
    <w:rsid w:val="00694A2E"/>
    <w:rsid w:val="00694BA8"/>
    <w:rsid w:val="006A037C"/>
    <w:rsid w:val="006A36F4"/>
    <w:rsid w:val="006A406F"/>
    <w:rsid w:val="006A5D3A"/>
    <w:rsid w:val="006B4C8A"/>
    <w:rsid w:val="006B5812"/>
    <w:rsid w:val="006B7FFC"/>
    <w:rsid w:val="006C1BCB"/>
    <w:rsid w:val="006C23D4"/>
    <w:rsid w:val="006C64BE"/>
    <w:rsid w:val="006C7BB0"/>
    <w:rsid w:val="006D3237"/>
    <w:rsid w:val="006D753A"/>
    <w:rsid w:val="006E2E37"/>
    <w:rsid w:val="006E3CF1"/>
    <w:rsid w:val="006E7E80"/>
    <w:rsid w:val="006F48CA"/>
    <w:rsid w:val="006F64DD"/>
    <w:rsid w:val="00705AC8"/>
    <w:rsid w:val="00711B9F"/>
    <w:rsid w:val="00715127"/>
    <w:rsid w:val="00715E8E"/>
    <w:rsid w:val="00723580"/>
    <w:rsid w:val="00723755"/>
    <w:rsid w:val="0073136C"/>
    <w:rsid w:val="00731F0F"/>
    <w:rsid w:val="00732C77"/>
    <w:rsid w:val="00733250"/>
    <w:rsid w:val="00741404"/>
    <w:rsid w:val="007449E5"/>
    <w:rsid w:val="00747FF0"/>
    <w:rsid w:val="00764D4E"/>
    <w:rsid w:val="00765A1F"/>
    <w:rsid w:val="00775B6D"/>
    <w:rsid w:val="00776D68"/>
    <w:rsid w:val="0077758A"/>
    <w:rsid w:val="00777FD0"/>
    <w:rsid w:val="007850EE"/>
    <w:rsid w:val="00785B95"/>
    <w:rsid w:val="00790E96"/>
    <w:rsid w:val="00793366"/>
    <w:rsid w:val="007952DA"/>
    <w:rsid w:val="007A716F"/>
    <w:rsid w:val="007B270A"/>
    <w:rsid w:val="007B4B56"/>
    <w:rsid w:val="007C0695"/>
    <w:rsid w:val="007C419A"/>
    <w:rsid w:val="007C4CC8"/>
    <w:rsid w:val="007C4EAC"/>
    <w:rsid w:val="007C5426"/>
    <w:rsid w:val="007C5798"/>
    <w:rsid w:val="007D4832"/>
    <w:rsid w:val="007E21B2"/>
    <w:rsid w:val="007E2C4E"/>
    <w:rsid w:val="007E3ED4"/>
    <w:rsid w:val="007E48C2"/>
    <w:rsid w:val="007F1905"/>
    <w:rsid w:val="007F4F51"/>
    <w:rsid w:val="00801300"/>
    <w:rsid w:val="008015FE"/>
    <w:rsid w:val="00802C64"/>
    <w:rsid w:val="00805E52"/>
    <w:rsid w:val="008061D0"/>
    <w:rsid w:val="00810B38"/>
    <w:rsid w:val="008204C7"/>
    <w:rsid w:val="00820992"/>
    <w:rsid w:val="00823602"/>
    <w:rsid w:val="008255F5"/>
    <w:rsid w:val="0083014E"/>
    <w:rsid w:val="00830B11"/>
    <w:rsid w:val="0083214A"/>
    <w:rsid w:val="00834220"/>
    <w:rsid w:val="008350C2"/>
    <w:rsid w:val="008355AB"/>
    <w:rsid w:val="008355BB"/>
    <w:rsid w:val="0084351A"/>
    <w:rsid w:val="00845723"/>
    <w:rsid w:val="00851EF9"/>
    <w:rsid w:val="008577FD"/>
    <w:rsid w:val="00860B03"/>
    <w:rsid w:val="0086497A"/>
    <w:rsid w:val="008713A1"/>
    <w:rsid w:val="008754AB"/>
    <w:rsid w:val="00875AB3"/>
    <w:rsid w:val="0088060C"/>
    <w:rsid w:val="00893576"/>
    <w:rsid w:val="00893E73"/>
    <w:rsid w:val="008B02DC"/>
    <w:rsid w:val="008B57CE"/>
    <w:rsid w:val="008C26DE"/>
    <w:rsid w:val="008D2225"/>
    <w:rsid w:val="008D4752"/>
    <w:rsid w:val="008D7298"/>
    <w:rsid w:val="008E271C"/>
    <w:rsid w:val="008E418E"/>
    <w:rsid w:val="008E5BC6"/>
    <w:rsid w:val="008E6A25"/>
    <w:rsid w:val="008F5193"/>
    <w:rsid w:val="008F5665"/>
    <w:rsid w:val="009013A7"/>
    <w:rsid w:val="009017FB"/>
    <w:rsid w:val="009017FC"/>
    <w:rsid w:val="00901F43"/>
    <w:rsid w:val="0090506B"/>
    <w:rsid w:val="009050C9"/>
    <w:rsid w:val="00906439"/>
    <w:rsid w:val="009066FC"/>
    <w:rsid w:val="009140A3"/>
    <w:rsid w:val="009144A2"/>
    <w:rsid w:val="0091510C"/>
    <w:rsid w:val="00920ECD"/>
    <w:rsid w:val="009259AC"/>
    <w:rsid w:val="009265C4"/>
    <w:rsid w:val="00926AD5"/>
    <w:rsid w:val="00926F38"/>
    <w:rsid w:val="00934301"/>
    <w:rsid w:val="00936C2D"/>
    <w:rsid w:val="00936CD1"/>
    <w:rsid w:val="00941747"/>
    <w:rsid w:val="00941EFB"/>
    <w:rsid w:val="009471B7"/>
    <w:rsid w:val="00947AFB"/>
    <w:rsid w:val="00951D7D"/>
    <w:rsid w:val="009630C7"/>
    <w:rsid w:val="00972B55"/>
    <w:rsid w:val="009743B7"/>
    <w:rsid w:val="0098228B"/>
    <w:rsid w:val="009828DA"/>
    <w:rsid w:val="00985BAB"/>
    <w:rsid w:val="009A5989"/>
    <w:rsid w:val="009B1B5F"/>
    <w:rsid w:val="009B6673"/>
    <w:rsid w:val="009C191B"/>
    <w:rsid w:val="009C2BD6"/>
    <w:rsid w:val="009E1F32"/>
    <w:rsid w:val="009E776C"/>
    <w:rsid w:val="00A00144"/>
    <w:rsid w:val="00A01D70"/>
    <w:rsid w:val="00A1726E"/>
    <w:rsid w:val="00A204CF"/>
    <w:rsid w:val="00A20AE5"/>
    <w:rsid w:val="00A23D49"/>
    <w:rsid w:val="00A27004"/>
    <w:rsid w:val="00A30B59"/>
    <w:rsid w:val="00A30C29"/>
    <w:rsid w:val="00A34DD6"/>
    <w:rsid w:val="00A36819"/>
    <w:rsid w:val="00A36989"/>
    <w:rsid w:val="00A43308"/>
    <w:rsid w:val="00A43628"/>
    <w:rsid w:val="00A54192"/>
    <w:rsid w:val="00A6035E"/>
    <w:rsid w:val="00A6144C"/>
    <w:rsid w:val="00A66617"/>
    <w:rsid w:val="00A671F8"/>
    <w:rsid w:val="00A673A4"/>
    <w:rsid w:val="00A67531"/>
    <w:rsid w:val="00A7046D"/>
    <w:rsid w:val="00A724AE"/>
    <w:rsid w:val="00A73329"/>
    <w:rsid w:val="00A74BC1"/>
    <w:rsid w:val="00A82359"/>
    <w:rsid w:val="00A865D2"/>
    <w:rsid w:val="00A94C20"/>
    <w:rsid w:val="00A95C3A"/>
    <w:rsid w:val="00AA227F"/>
    <w:rsid w:val="00AA3BC7"/>
    <w:rsid w:val="00AA754A"/>
    <w:rsid w:val="00AB099E"/>
    <w:rsid w:val="00AB4328"/>
    <w:rsid w:val="00AC0824"/>
    <w:rsid w:val="00AC4EBF"/>
    <w:rsid w:val="00AD412E"/>
    <w:rsid w:val="00AE0A2E"/>
    <w:rsid w:val="00AE354C"/>
    <w:rsid w:val="00AE7A3E"/>
    <w:rsid w:val="00AF4B07"/>
    <w:rsid w:val="00AF5C0B"/>
    <w:rsid w:val="00AF5CC8"/>
    <w:rsid w:val="00AF6186"/>
    <w:rsid w:val="00AF7A3A"/>
    <w:rsid w:val="00B00AE8"/>
    <w:rsid w:val="00B160DB"/>
    <w:rsid w:val="00B20836"/>
    <w:rsid w:val="00B235BB"/>
    <w:rsid w:val="00B27A44"/>
    <w:rsid w:val="00B30BBF"/>
    <w:rsid w:val="00B33C03"/>
    <w:rsid w:val="00B44E56"/>
    <w:rsid w:val="00B46543"/>
    <w:rsid w:val="00B46D2C"/>
    <w:rsid w:val="00B47D33"/>
    <w:rsid w:val="00B52BE0"/>
    <w:rsid w:val="00B54133"/>
    <w:rsid w:val="00B701ED"/>
    <w:rsid w:val="00B8086C"/>
    <w:rsid w:val="00B861B4"/>
    <w:rsid w:val="00B86DFE"/>
    <w:rsid w:val="00B90990"/>
    <w:rsid w:val="00B922FF"/>
    <w:rsid w:val="00B9281E"/>
    <w:rsid w:val="00B93925"/>
    <w:rsid w:val="00B93ECF"/>
    <w:rsid w:val="00B95187"/>
    <w:rsid w:val="00B9776F"/>
    <w:rsid w:val="00BA2760"/>
    <w:rsid w:val="00BA2D55"/>
    <w:rsid w:val="00BA71B1"/>
    <w:rsid w:val="00BB0637"/>
    <w:rsid w:val="00BB1E1D"/>
    <w:rsid w:val="00BB345F"/>
    <w:rsid w:val="00BB68EA"/>
    <w:rsid w:val="00BC1C27"/>
    <w:rsid w:val="00BC4A8F"/>
    <w:rsid w:val="00BC5089"/>
    <w:rsid w:val="00BC6BBF"/>
    <w:rsid w:val="00BD1572"/>
    <w:rsid w:val="00BE14E3"/>
    <w:rsid w:val="00BE3774"/>
    <w:rsid w:val="00BE41E5"/>
    <w:rsid w:val="00BF4109"/>
    <w:rsid w:val="00BF4CC3"/>
    <w:rsid w:val="00C054C7"/>
    <w:rsid w:val="00C057B5"/>
    <w:rsid w:val="00C06E15"/>
    <w:rsid w:val="00C124F3"/>
    <w:rsid w:val="00C1262B"/>
    <w:rsid w:val="00C1789B"/>
    <w:rsid w:val="00C22687"/>
    <w:rsid w:val="00C32E4D"/>
    <w:rsid w:val="00C333A0"/>
    <w:rsid w:val="00C36408"/>
    <w:rsid w:val="00C36A81"/>
    <w:rsid w:val="00C375DE"/>
    <w:rsid w:val="00C41974"/>
    <w:rsid w:val="00C53F4A"/>
    <w:rsid w:val="00C54125"/>
    <w:rsid w:val="00C55B54"/>
    <w:rsid w:val="00C6098E"/>
    <w:rsid w:val="00C611D8"/>
    <w:rsid w:val="00C6152C"/>
    <w:rsid w:val="00C63990"/>
    <w:rsid w:val="00C64EF6"/>
    <w:rsid w:val="00C65050"/>
    <w:rsid w:val="00C74810"/>
    <w:rsid w:val="00C90B8F"/>
    <w:rsid w:val="00C90D68"/>
    <w:rsid w:val="00C939FE"/>
    <w:rsid w:val="00C97B3B"/>
    <w:rsid w:val="00CA4BDA"/>
    <w:rsid w:val="00CB1F66"/>
    <w:rsid w:val="00CB2951"/>
    <w:rsid w:val="00CC3FE5"/>
    <w:rsid w:val="00CC71E6"/>
    <w:rsid w:val="00CD282B"/>
    <w:rsid w:val="00CD4C35"/>
    <w:rsid w:val="00CD5BEE"/>
    <w:rsid w:val="00CD7369"/>
    <w:rsid w:val="00CD79DD"/>
    <w:rsid w:val="00CE0B0E"/>
    <w:rsid w:val="00CE3831"/>
    <w:rsid w:val="00D00ABB"/>
    <w:rsid w:val="00D02EEC"/>
    <w:rsid w:val="00D03551"/>
    <w:rsid w:val="00D06A63"/>
    <w:rsid w:val="00D07E0E"/>
    <w:rsid w:val="00D11478"/>
    <w:rsid w:val="00D15ED0"/>
    <w:rsid w:val="00D16363"/>
    <w:rsid w:val="00D21B3E"/>
    <w:rsid w:val="00D21FED"/>
    <w:rsid w:val="00D24251"/>
    <w:rsid w:val="00D250D7"/>
    <w:rsid w:val="00D31D00"/>
    <w:rsid w:val="00D343E2"/>
    <w:rsid w:val="00D361A2"/>
    <w:rsid w:val="00D37C1F"/>
    <w:rsid w:val="00D42AFF"/>
    <w:rsid w:val="00D44C2E"/>
    <w:rsid w:val="00D45414"/>
    <w:rsid w:val="00D566BD"/>
    <w:rsid w:val="00D576CF"/>
    <w:rsid w:val="00D57A4D"/>
    <w:rsid w:val="00D60AA7"/>
    <w:rsid w:val="00D6435F"/>
    <w:rsid w:val="00D75E28"/>
    <w:rsid w:val="00D772C2"/>
    <w:rsid w:val="00D8008E"/>
    <w:rsid w:val="00D82C45"/>
    <w:rsid w:val="00D908A8"/>
    <w:rsid w:val="00D977B6"/>
    <w:rsid w:val="00DA4A31"/>
    <w:rsid w:val="00DA7B04"/>
    <w:rsid w:val="00DB36C2"/>
    <w:rsid w:val="00DC0D18"/>
    <w:rsid w:val="00DC169B"/>
    <w:rsid w:val="00DC2AB9"/>
    <w:rsid w:val="00DC63F0"/>
    <w:rsid w:val="00DD4AAB"/>
    <w:rsid w:val="00DD5146"/>
    <w:rsid w:val="00DD6EE5"/>
    <w:rsid w:val="00DE386C"/>
    <w:rsid w:val="00DE4D35"/>
    <w:rsid w:val="00DF098B"/>
    <w:rsid w:val="00DF11C4"/>
    <w:rsid w:val="00DF210C"/>
    <w:rsid w:val="00DF4B6A"/>
    <w:rsid w:val="00E01E65"/>
    <w:rsid w:val="00E02C09"/>
    <w:rsid w:val="00E04D59"/>
    <w:rsid w:val="00E07DA1"/>
    <w:rsid w:val="00E123CB"/>
    <w:rsid w:val="00E2084E"/>
    <w:rsid w:val="00E20E13"/>
    <w:rsid w:val="00E21DBC"/>
    <w:rsid w:val="00E275D7"/>
    <w:rsid w:val="00E27DBE"/>
    <w:rsid w:val="00E32AB1"/>
    <w:rsid w:val="00E35B43"/>
    <w:rsid w:val="00E36C71"/>
    <w:rsid w:val="00E40404"/>
    <w:rsid w:val="00E40595"/>
    <w:rsid w:val="00E4529A"/>
    <w:rsid w:val="00E459C6"/>
    <w:rsid w:val="00E47589"/>
    <w:rsid w:val="00E64915"/>
    <w:rsid w:val="00E661D4"/>
    <w:rsid w:val="00E70091"/>
    <w:rsid w:val="00E720F5"/>
    <w:rsid w:val="00E76D47"/>
    <w:rsid w:val="00E77CB3"/>
    <w:rsid w:val="00E8012E"/>
    <w:rsid w:val="00E849F7"/>
    <w:rsid w:val="00E90302"/>
    <w:rsid w:val="00E97396"/>
    <w:rsid w:val="00EA185E"/>
    <w:rsid w:val="00EA592A"/>
    <w:rsid w:val="00EB1066"/>
    <w:rsid w:val="00EB14E4"/>
    <w:rsid w:val="00EB2078"/>
    <w:rsid w:val="00EB32A5"/>
    <w:rsid w:val="00EB34ED"/>
    <w:rsid w:val="00EB7BE0"/>
    <w:rsid w:val="00EB7E63"/>
    <w:rsid w:val="00EC315E"/>
    <w:rsid w:val="00ED077C"/>
    <w:rsid w:val="00ED1190"/>
    <w:rsid w:val="00ED4966"/>
    <w:rsid w:val="00ED6544"/>
    <w:rsid w:val="00EE0277"/>
    <w:rsid w:val="00EE3E00"/>
    <w:rsid w:val="00EE5DD2"/>
    <w:rsid w:val="00EE78BD"/>
    <w:rsid w:val="00EF0A2E"/>
    <w:rsid w:val="00EF3F84"/>
    <w:rsid w:val="00EF6249"/>
    <w:rsid w:val="00EF63C2"/>
    <w:rsid w:val="00F00A79"/>
    <w:rsid w:val="00F00E86"/>
    <w:rsid w:val="00F07C1E"/>
    <w:rsid w:val="00F105DB"/>
    <w:rsid w:val="00F132BC"/>
    <w:rsid w:val="00F13D80"/>
    <w:rsid w:val="00F16AAA"/>
    <w:rsid w:val="00F21161"/>
    <w:rsid w:val="00F218EF"/>
    <w:rsid w:val="00F21BC7"/>
    <w:rsid w:val="00F233B1"/>
    <w:rsid w:val="00F266A2"/>
    <w:rsid w:val="00F32269"/>
    <w:rsid w:val="00F46237"/>
    <w:rsid w:val="00F56A6F"/>
    <w:rsid w:val="00F5709C"/>
    <w:rsid w:val="00F63A2D"/>
    <w:rsid w:val="00F64EF1"/>
    <w:rsid w:val="00F8765F"/>
    <w:rsid w:val="00F90767"/>
    <w:rsid w:val="00FA685B"/>
    <w:rsid w:val="00FB0C01"/>
    <w:rsid w:val="00FB2B45"/>
    <w:rsid w:val="00FC18F2"/>
    <w:rsid w:val="00FC39E5"/>
    <w:rsid w:val="00FC3A78"/>
    <w:rsid w:val="00FD1005"/>
    <w:rsid w:val="00FD47B3"/>
    <w:rsid w:val="00FD6C75"/>
    <w:rsid w:val="00FE71B3"/>
    <w:rsid w:val="00FF245F"/>
    <w:rsid w:val="00FF42C5"/>
    <w:rsid w:val="00FF4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67925"/>
    <w:pPr>
      <w:jc w:val="both"/>
    </w:pPr>
    <w:rPr>
      <w:rFonts w:eastAsiaTheme="minorEastAsia"/>
      <w:sz w:val="24"/>
    </w:rPr>
  </w:style>
  <w:style w:type="paragraph" w:styleId="Titolo1">
    <w:name w:val="heading 1"/>
    <w:basedOn w:val="Normale"/>
    <w:next w:val="Normale"/>
    <w:link w:val="Titolo1Carattere"/>
    <w:uiPriority w:val="99"/>
    <w:semiHidden/>
    <w:rsid w:val="0006792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6792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6792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6792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6792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6792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6792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6792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6792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679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925"/>
    <w:rPr>
      <w:rFonts w:ascii="Tahoma" w:eastAsiaTheme="minorEastAsia" w:hAnsi="Tahoma" w:cs="Tahoma"/>
      <w:sz w:val="16"/>
      <w:szCs w:val="16"/>
    </w:rPr>
  </w:style>
  <w:style w:type="character" w:styleId="Titolodellibro">
    <w:name w:val="Book Title"/>
    <w:uiPriority w:val="99"/>
    <w:semiHidden/>
    <w:qFormat/>
    <w:rsid w:val="00067925"/>
    <w:rPr>
      <w:i/>
      <w:iCs/>
      <w:smallCaps/>
      <w:spacing w:val="5"/>
    </w:rPr>
  </w:style>
  <w:style w:type="paragraph" w:customStyle="1" w:styleId="ECHRHeader">
    <w:name w:val="ECHR_Header"/>
    <w:aliases w:val="Ju_Header"/>
    <w:basedOn w:val="Intestazione"/>
    <w:uiPriority w:val="4"/>
    <w:qFormat/>
    <w:rsid w:val="0006792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067925"/>
    <w:pPr>
      <w:jc w:val="left"/>
    </w:pPr>
    <w:rPr>
      <w:sz w:val="8"/>
    </w:rPr>
  </w:style>
  <w:style w:type="character" w:styleId="Enfasigrassetto">
    <w:name w:val="Strong"/>
    <w:uiPriority w:val="99"/>
    <w:semiHidden/>
    <w:qFormat/>
    <w:rsid w:val="00067925"/>
    <w:rPr>
      <w:b/>
      <w:bCs/>
    </w:rPr>
  </w:style>
  <w:style w:type="paragraph" w:styleId="Nessunaspaziatura">
    <w:name w:val="No Spacing"/>
    <w:basedOn w:val="Normale"/>
    <w:link w:val="NessunaspaziaturaCarattere"/>
    <w:semiHidden/>
    <w:qFormat/>
    <w:rsid w:val="00067925"/>
    <w:rPr>
      <w:sz w:val="22"/>
    </w:rPr>
  </w:style>
  <w:style w:type="character" w:customStyle="1" w:styleId="NessunaspaziaturaCarattere">
    <w:name w:val="Nessuna spaziatura Carattere"/>
    <w:basedOn w:val="Carpredefinitoparagrafo"/>
    <w:link w:val="Nessunaspaziatura"/>
    <w:semiHidden/>
    <w:rsid w:val="00067925"/>
    <w:rPr>
      <w:rFonts w:eastAsiaTheme="minorEastAsia"/>
    </w:rPr>
  </w:style>
  <w:style w:type="paragraph" w:customStyle="1" w:styleId="ECHRFooterLine">
    <w:name w:val="ECHR_Footer_Line"/>
    <w:aliases w:val="Footer_Line"/>
    <w:basedOn w:val="Normale"/>
    <w:next w:val="ECHRFooter"/>
    <w:uiPriority w:val="57"/>
    <w:semiHidden/>
    <w:rsid w:val="0006792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067925"/>
    <w:pPr>
      <w:numPr>
        <w:numId w:val="16"/>
      </w:numPr>
      <w:jc w:val="left"/>
    </w:pPr>
    <w:rPr>
      <w:b/>
    </w:rPr>
  </w:style>
  <w:style w:type="paragraph" w:customStyle="1" w:styleId="OpiPara">
    <w:name w:val="Opi_Para"/>
    <w:basedOn w:val="ECHRPara"/>
    <w:uiPriority w:val="46"/>
    <w:qFormat/>
    <w:rsid w:val="00067925"/>
  </w:style>
  <w:style w:type="paragraph" w:customStyle="1" w:styleId="JuParaSub">
    <w:name w:val="Ju_Para_Sub"/>
    <w:basedOn w:val="ECHRPara"/>
    <w:uiPriority w:val="13"/>
    <w:qFormat/>
    <w:rsid w:val="00067925"/>
    <w:pPr>
      <w:ind w:left="284"/>
    </w:pPr>
  </w:style>
  <w:style w:type="paragraph" w:customStyle="1" w:styleId="ECHRTitleCentre3">
    <w:name w:val="ECHR_Title_Centre_3"/>
    <w:aliases w:val="Ju_H_Article"/>
    <w:basedOn w:val="Normale"/>
    <w:next w:val="ECHRParaQuote"/>
    <w:uiPriority w:val="27"/>
    <w:qFormat/>
    <w:rsid w:val="0006792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6792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067925"/>
  </w:style>
  <w:style w:type="paragraph" w:customStyle="1" w:styleId="OpiQuot">
    <w:name w:val="Opi_Quot"/>
    <w:basedOn w:val="ECHRParaQuote"/>
    <w:uiPriority w:val="48"/>
    <w:qFormat/>
    <w:rsid w:val="00067925"/>
  </w:style>
  <w:style w:type="paragraph" w:customStyle="1" w:styleId="OpiQuotSub">
    <w:name w:val="Opi_Quot_Sub"/>
    <w:basedOn w:val="JuQuotSub"/>
    <w:uiPriority w:val="49"/>
    <w:qFormat/>
    <w:rsid w:val="00067925"/>
  </w:style>
  <w:style w:type="paragraph" w:customStyle="1" w:styleId="ECHRTitleCentre2">
    <w:name w:val="ECHR_Title_Centre_2"/>
    <w:aliases w:val="Dec_H_Case"/>
    <w:basedOn w:val="Normale"/>
    <w:next w:val="ECHRPara"/>
    <w:uiPriority w:val="8"/>
    <w:rsid w:val="00067925"/>
    <w:pPr>
      <w:spacing w:after="240"/>
      <w:jc w:val="center"/>
      <w:outlineLvl w:val="0"/>
    </w:pPr>
    <w:rPr>
      <w:rFonts w:asciiTheme="majorHAnsi" w:hAnsiTheme="majorHAnsi"/>
    </w:rPr>
  </w:style>
  <w:style w:type="paragraph" w:customStyle="1" w:styleId="JuTitle">
    <w:name w:val="Ju_Title"/>
    <w:basedOn w:val="Normale"/>
    <w:next w:val="ECHRPara"/>
    <w:uiPriority w:val="3"/>
    <w:rsid w:val="00067925"/>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06792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6792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06792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06792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6792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06792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067925"/>
    <w:pPr>
      <w:keepNext/>
      <w:keepLines/>
      <w:spacing w:before="240" w:after="120"/>
      <w:ind w:left="1236"/>
    </w:pPr>
    <w:rPr>
      <w:sz w:val="20"/>
    </w:rPr>
  </w:style>
  <w:style w:type="paragraph" w:customStyle="1" w:styleId="JuQuotSub">
    <w:name w:val="Ju_Quot_Sub"/>
    <w:basedOn w:val="ECHRParaQuote"/>
    <w:uiPriority w:val="15"/>
    <w:qFormat/>
    <w:rsid w:val="00067925"/>
    <w:pPr>
      <w:ind w:left="567"/>
    </w:pPr>
  </w:style>
  <w:style w:type="paragraph" w:customStyle="1" w:styleId="JuInitialled">
    <w:name w:val="Ju_Initialled"/>
    <w:basedOn w:val="Normale"/>
    <w:uiPriority w:val="31"/>
    <w:qFormat/>
    <w:rsid w:val="00067925"/>
    <w:pPr>
      <w:tabs>
        <w:tab w:val="center" w:pos="6407"/>
      </w:tabs>
      <w:spacing w:before="720"/>
      <w:jc w:val="right"/>
    </w:pPr>
  </w:style>
  <w:style w:type="paragraph" w:customStyle="1" w:styleId="OpiHA">
    <w:name w:val="Opi_H_A"/>
    <w:basedOn w:val="ECHRHeading1"/>
    <w:next w:val="OpiPara"/>
    <w:uiPriority w:val="41"/>
    <w:qFormat/>
    <w:rsid w:val="00067925"/>
    <w:pPr>
      <w:tabs>
        <w:tab w:val="clear" w:pos="357"/>
      </w:tabs>
      <w:outlineLvl w:val="1"/>
    </w:pPr>
    <w:rPr>
      <w:b/>
    </w:rPr>
  </w:style>
  <w:style w:type="paragraph" w:styleId="Intestazione">
    <w:name w:val="header"/>
    <w:basedOn w:val="Normale"/>
    <w:link w:val="IntestazioneCarattere"/>
    <w:uiPriority w:val="57"/>
    <w:semiHidden/>
    <w:rsid w:val="0006792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67925"/>
    <w:rPr>
      <w:sz w:val="24"/>
    </w:rPr>
  </w:style>
  <w:style w:type="character" w:customStyle="1" w:styleId="Titolo1Carattere">
    <w:name w:val="Titolo 1 Carattere"/>
    <w:basedOn w:val="Carpredefinitoparagrafo"/>
    <w:link w:val="Titolo1"/>
    <w:uiPriority w:val="99"/>
    <w:semiHidden/>
    <w:rsid w:val="0006792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06792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067925"/>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067925"/>
    <w:rPr>
      <w:rFonts w:asciiTheme="majorHAnsi" w:eastAsiaTheme="majorEastAsia" w:hAnsiTheme="majorHAnsi" w:cstheme="majorBidi"/>
      <w:b/>
      <w:bCs/>
      <w:color w:val="4D4D4D"/>
      <w:sz w:val="26"/>
      <w:szCs w:val="26"/>
    </w:rPr>
  </w:style>
  <w:style w:type="character" w:customStyle="1" w:styleId="JUNAMES">
    <w:name w:val="JU_NAMES"/>
    <w:uiPriority w:val="17"/>
    <w:qFormat/>
    <w:rsid w:val="00067925"/>
    <w:rPr>
      <w:caps w:val="0"/>
      <w:smallCaps/>
    </w:rPr>
  </w:style>
  <w:style w:type="paragraph" w:customStyle="1" w:styleId="ECHRDecisionBody">
    <w:name w:val="ECHR_Decision_Body"/>
    <w:aliases w:val="Ju_Judges"/>
    <w:basedOn w:val="Normale"/>
    <w:uiPriority w:val="11"/>
    <w:qFormat/>
    <w:rsid w:val="00067925"/>
    <w:pPr>
      <w:tabs>
        <w:tab w:val="left" w:pos="567"/>
        <w:tab w:val="left" w:pos="1134"/>
      </w:tabs>
      <w:jc w:val="left"/>
    </w:pPr>
  </w:style>
  <w:style w:type="character" w:customStyle="1" w:styleId="Titolo3Carattere">
    <w:name w:val="Titolo 3 Carattere"/>
    <w:basedOn w:val="Carpredefinitoparagrafo"/>
    <w:link w:val="Titolo3"/>
    <w:uiPriority w:val="99"/>
    <w:semiHidden/>
    <w:rsid w:val="00067925"/>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067925"/>
    <w:pPr>
      <w:ind w:firstLine="284"/>
    </w:pPr>
  </w:style>
  <w:style w:type="character" w:customStyle="1" w:styleId="Titolo4Carattere">
    <w:name w:val="Titolo 4 Carattere"/>
    <w:basedOn w:val="Carpredefinitoparagrafo"/>
    <w:link w:val="Titolo4"/>
    <w:uiPriority w:val="99"/>
    <w:semiHidden/>
    <w:rsid w:val="00067925"/>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067925"/>
    <w:rPr>
      <w:rFonts w:asciiTheme="majorHAnsi" w:eastAsiaTheme="majorEastAsia" w:hAnsiTheme="majorHAnsi" w:cstheme="majorBidi"/>
      <w:b/>
      <w:bCs/>
      <w:color w:val="808080"/>
    </w:rPr>
  </w:style>
  <w:style w:type="character" w:styleId="Enfasidelicata">
    <w:name w:val="Subtle Emphasis"/>
    <w:uiPriority w:val="99"/>
    <w:semiHidden/>
    <w:qFormat/>
    <w:rsid w:val="00067925"/>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067925"/>
    <w:pPr>
      <w:keepNext/>
      <w:keepLines/>
      <w:spacing w:before="720" w:after="240"/>
      <w:outlineLvl w:val="0"/>
    </w:pPr>
    <w:rPr>
      <w:rFonts w:asciiTheme="majorHAnsi" w:hAnsiTheme="majorHAnsi"/>
      <w:sz w:val="28"/>
    </w:rPr>
  </w:style>
  <w:style w:type="character" w:styleId="Enfasicorsivo">
    <w:name w:val="Emphasis"/>
    <w:uiPriority w:val="99"/>
    <w:semiHidden/>
    <w:qFormat/>
    <w:rsid w:val="00067925"/>
    <w:rPr>
      <w:b/>
      <w:bCs/>
      <w:i/>
      <w:iCs/>
      <w:spacing w:val="10"/>
      <w:bdr w:val="none" w:sz="0" w:space="0" w:color="auto"/>
      <w:shd w:val="clear" w:color="auto" w:fill="auto"/>
    </w:rPr>
  </w:style>
  <w:style w:type="paragraph" w:styleId="Pidipagina">
    <w:name w:val="footer"/>
    <w:basedOn w:val="Normale"/>
    <w:link w:val="PidipaginaCarattere"/>
    <w:uiPriority w:val="57"/>
    <w:semiHidden/>
    <w:rsid w:val="0006792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67925"/>
    <w:rPr>
      <w:sz w:val="24"/>
    </w:rPr>
  </w:style>
  <w:style w:type="character" w:styleId="Rimandonotaapidipagina">
    <w:name w:val="footnote reference"/>
    <w:basedOn w:val="Carpredefinitoparagrafo"/>
    <w:uiPriority w:val="99"/>
    <w:semiHidden/>
    <w:rsid w:val="00067925"/>
    <w:rPr>
      <w:vertAlign w:val="superscript"/>
    </w:rPr>
  </w:style>
  <w:style w:type="paragraph" w:styleId="Testonotaapidipagina">
    <w:name w:val="footnote text"/>
    <w:basedOn w:val="Normale"/>
    <w:link w:val="TestonotaapidipaginaCarattere"/>
    <w:uiPriority w:val="99"/>
    <w:semiHidden/>
    <w:rsid w:val="00067925"/>
    <w:rPr>
      <w:sz w:val="20"/>
      <w:szCs w:val="20"/>
    </w:rPr>
  </w:style>
  <w:style w:type="character" w:customStyle="1" w:styleId="TestonotaapidipaginaCarattere">
    <w:name w:val="Testo nota a piè di pagina Carattere"/>
    <w:basedOn w:val="Carpredefinitoparagrafo"/>
    <w:link w:val="Testonotaapidipagina"/>
    <w:uiPriority w:val="99"/>
    <w:semiHidden/>
    <w:rsid w:val="00067925"/>
    <w:rPr>
      <w:rFonts w:eastAsiaTheme="minorEastAsia"/>
      <w:sz w:val="20"/>
      <w:szCs w:val="20"/>
    </w:rPr>
  </w:style>
  <w:style w:type="character" w:customStyle="1" w:styleId="Titolo6Carattere">
    <w:name w:val="Titolo 6 Carattere"/>
    <w:basedOn w:val="Carpredefinitoparagrafo"/>
    <w:link w:val="Titolo6"/>
    <w:uiPriority w:val="99"/>
    <w:semiHidden/>
    <w:rsid w:val="0006792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6792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6792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6792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67925"/>
    <w:rPr>
      <w:color w:val="0072BC" w:themeColor="hyperlink"/>
      <w:u w:val="single"/>
    </w:rPr>
  </w:style>
  <w:style w:type="character" w:styleId="Enfasiintensa">
    <w:name w:val="Intense Emphasis"/>
    <w:uiPriority w:val="99"/>
    <w:semiHidden/>
    <w:qFormat/>
    <w:rsid w:val="00067925"/>
    <w:rPr>
      <w:b/>
      <w:bCs/>
    </w:rPr>
  </w:style>
  <w:style w:type="paragraph" w:styleId="Citazioneintensa">
    <w:name w:val="Intense Quote"/>
    <w:basedOn w:val="Normale"/>
    <w:next w:val="Normale"/>
    <w:link w:val="CitazioneintensaCarattere"/>
    <w:uiPriority w:val="99"/>
    <w:semiHidden/>
    <w:qFormat/>
    <w:rsid w:val="0006792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67925"/>
    <w:rPr>
      <w:rFonts w:eastAsiaTheme="minorEastAsia"/>
      <w:b/>
      <w:bCs/>
      <w:i/>
      <w:iCs/>
      <w:lang w:bidi="en-US"/>
    </w:rPr>
  </w:style>
  <w:style w:type="character" w:styleId="Riferimentointenso">
    <w:name w:val="Intense Reference"/>
    <w:uiPriority w:val="99"/>
    <w:semiHidden/>
    <w:qFormat/>
    <w:rsid w:val="00067925"/>
    <w:rPr>
      <w:smallCaps/>
      <w:spacing w:val="5"/>
      <w:u w:val="single"/>
    </w:rPr>
  </w:style>
  <w:style w:type="paragraph" w:styleId="Paragrafoelenco">
    <w:name w:val="List Paragraph"/>
    <w:basedOn w:val="Normale"/>
    <w:uiPriority w:val="99"/>
    <w:semiHidden/>
    <w:qFormat/>
    <w:rsid w:val="0006792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6792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67925"/>
    <w:rPr>
      <w:rFonts w:eastAsiaTheme="minorEastAsia"/>
      <w:i/>
      <w:iCs/>
      <w:lang w:bidi="en-US"/>
    </w:rPr>
  </w:style>
  <w:style w:type="character" w:styleId="Riferimentodelicato">
    <w:name w:val="Subtle Reference"/>
    <w:uiPriority w:val="99"/>
    <w:semiHidden/>
    <w:qFormat/>
    <w:rsid w:val="00067925"/>
    <w:rPr>
      <w:smallCaps/>
    </w:rPr>
  </w:style>
  <w:style w:type="table" w:styleId="Grigliatabella">
    <w:name w:val="Table Grid"/>
    <w:basedOn w:val="Tabellanormale"/>
    <w:uiPriority w:val="59"/>
    <w:semiHidden/>
    <w:rsid w:val="0006792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6792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067925"/>
    <w:pPr>
      <w:spacing w:after="60"/>
      <w:ind w:left="680" w:right="340" w:hanging="340"/>
    </w:pPr>
  </w:style>
  <w:style w:type="paragraph" w:styleId="Sommario3">
    <w:name w:val="toc 3"/>
    <w:basedOn w:val="Normale"/>
    <w:next w:val="Normale"/>
    <w:autoRedefine/>
    <w:uiPriority w:val="99"/>
    <w:semiHidden/>
    <w:rsid w:val="00067925"/>
    <w:pPr>
      <w:spacing w:after="60"/>
      <w:ind w:left="1020" w:right="340" w:hanging="340"/>
    </w:pPr>
  </w:style>
  <w:style w:type="paragraph" w:styleId="Sommario4">
    <w:name w:val="toc 4"/>
    <w:basedOn w:val="Normale"/>
    <w:next w:val="Normale"/>
    <w:autoRedefine/>
    <w:uiPriority w:val="99"/>
    <w:semiHidden/>
    <w:rsid w:val="00067925"/>
    <w:pPr>
      <w:tabs>
        <w:tab w:val="right" w:leader="dot" w:pos="9017"/>
      </w:tabs>
      <w:spacing w:after="60"/>
      <w:ind w:left="1361" w:right="340" w:hanging="340"/>
    </w:pPr>
  </w:style>
  <w:style w:type="paragraph" w:styleId="Sommario5">
    <w:name w:val="toc 5"/>
    <w:basedOn w:val="Normale"/>
    <w:next w:val="Normale"/>
    <w:autoRedefine/>
    <w:uiPriority w:val="99"/>
    <w:semiHidden/>
    <w:rsid w:val="00067925"/>
    <w:pPr>
      <w:spacing w:after="60"/>
      <w:ind w:left="1701" w:right="340" w:hanging="340"/>
    </w:pPr>
  </w:style>
  <w:style w:type="paragraph" w:styleId="Titolosommario">
    <w:name w:val="TOC Heading"/>
    <w:basedOn w:val="Titolo1"/>
    <w:next w:val="Normale"/>
    <w:uiPriority w:val="99"/>
    <w:semiHidden/>
    <w:qFormat/>
    <w:rsid w:val="0006792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6792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067925"/>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6792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067925"/>
    <w:pPr>
      <w:tabs>
        <w:tab w:val="center" w:pos="851"/>
        <w:tab w:val="center" w:pos="6407"/>
      </w:tabs>
      <w:spacing w:before="720"/>
      <w:jc w:val="left"/>
    </w:pPr>
  </w:style>
  <w:style w:type="paragraph" w:customStyle="1" w:styleId="JuParaLast">
    <w:name w:val="Ju_Para_Last"/>
    <w:basedOn w:val="Normale"/>
    <w:next w:val="ECHRPara"/>
    <w:uiPriority w:val="30"/>
    <w:qFormat/>
    <w:rsid w:val="00067925"/>
    <w:pPr>
      <w:keepNext/>
      <w:keepLines/>
      <w:spacing w:before="240"/>
      <w:ind w:firstLine="284"/>
    </w:pPr>
  </w:style>
  <w:style w:type="paragraph" w:customStyle="1" w:styleId="JuCase">
    <w:name w:val="Ju_Case"/>
    <w:basedOn w:val="Normale"/>
    <w:next w:val="ECHRPara"/>
    <w:uiPriority w:val="10"/>
    <w:rsid w:val="00067925"/>
    <w:pPr>
      <w:ind w:firstLine="284"/>
    </w:pPr>
    <w:rPr>
      <w:b/>
    </w:rPr>
  </w:style>
  <w:style w:type="paragraph" w:customStyle="1" w:styleId="JuList">
    <w:name w:val="Ju_List"/>
    <w:basedOn w:val="Normale"/>
    <w:uiPriority w:val="28"/>
    <w:qFormat/>
    <w:rsid w:val="00067925"/>
    <w:pPr>
      <w:ind w:left="340" w:hanging="340"/>
    </w:pPr>
  </w:style>
  <w:style w:type="character" w:customStyle="1" w:styleId="JuITMark">
    <w:name w:val="Ju_ITMark"/>
    <w:basedOn w:val="Carpredefinitoparagrafo"/>
    <w:uiPriority w:val="38"/>
    <w:qFormat/>
    <w:rsid w:val="00067925"/>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OpiTranslation">
    <w:name w:val="Opi_Translation"/>
    <w:basedOn w:val="Normale"/>
    <w:next w:val="OpiPara"/>
    <w:uiPriority w:val="40"/>
    <w:qFormat/>
    <w:rsid w:val="00067925"/>
    <w:pPr>
      <w:jc w:val="center"/>
      <w:outlineLvl w:val="0"/>
    </w:pPr>
    <w:rPr>
      <w:i/>
    </w:rPr>
  </w:style>
  <w:style w:type="paragraph" w:customStyle="1" w:styleId="DecHTitle">
    <w:name w:val="Dec_H_Title"/>
    <w:basedOn w:val="ECHRTitleCentre1"/>
    <w:uiPriority w:val="7"/>
    <w:rsid w:val="00067925"/>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Court">
    <w:name w:val="Ju_Court"/>
    <w:basedOn w:val="Normale"/>
    <w:next w:val="Normale"/>
    <w:uiPriority w:val="16"/>
    <w:qFormat/>
    <w:rsid w:val="00067925"/>
    <w:pPr>
      <w:tabs>
        <w:tab w:val="left" w:pos="907"/>
        <w:tab w:val="left" w:pos="1701"/>
        <w:tab w:val="right" w:pos="7371"/>
      </w:tabs>
      <w:spacing w:before="240"/>
      <w:ind w:left="397" w:hanging="397"/>
      <w:jc w:val="left"/>
    </w:pPr>
    <w:rPr>
      <w:lang w:bidi="en-U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List">
    <w:name w:val="Dec_List"/>
    <w:basedOn w:val="Normale"/>
    <w:uiPriority w:val="9"/>
    <w:rsid w:val="00067925"/>
    <w:pPr>
      <w:spacing w:before="240"/>
      <w:ind w:left="284"/>
    </w:pPr>
  </w:style>
  <w:style w:type="paragraph" w:styleId="Sottotitolo">
    <w:name w:val="Subtitle"/>
    <w:basedOn w:val="Normale"/>
    <w:next w:val="Normale"/>
    <w:link w:val="SottotitoloCarattere"/>
    <w:uiPriority w:val="99"/>
    <w:semiHidden/>
    <w:qFormat/>
    <w:rsid w:val="00067925"/>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067925"/>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Lista">
    <w:name w:val="Ju_List_a"/>
    <w:basedOn w:val="JuList"/>
    <w:uiPriority w:val="28"/>
    <w:qFormat/>
    <w:rsid w:val="00067925"/>
    <w:pPr>
      <w:ind w:left="346" w:firstLine="0"/>
    </w:pPr>
  </w:style>
  <w:style w:type="paragraph" w:customStyle="1" w:styleId="JuListi">
    <w:name w:val="Ju_List_i"/>
    <w:basedOn w:val="Normale"/>
    <w:next w:val="JuLista"/>
    <w:uiPriority w:val="28"/>
    <w:qFormat/>
    <w:rsid w:val="00067925"/>
    <w:pPr>
      <w:ind w:left="794"/>
    </w:pPr>
  </w:style>
  <w:style w:type="paragraph" w:customStyle="1" w:styleId="OpiH1">
    <w:name w:val="Opi_H_1"/>
    <w:basedOn w:val="ECHRHeading2"/>
    <w:uiPriority w:val="42"/>
    <w:qFormat/>
    <w:rsid w:val="00067925"/>
    <w:pPr>
      <w:ind w:left="635" w:hanging="357"/>
      <w:outlineLvl w:val="2"/>
    </w:pPr>
  </w:style>
  <w:style w:type="paragraph" w:customStyle="1" w:styleId="OpiHa0">
    <w:name w:val="Opi_H_a"/>
    <w:basedOn w:val="ECHRHeading3"/>
    <w:uiPriority w:val="43"/>
    <w:qFormat/>
    <w:rsid w:val="00067925"/>
    <w:pPr>
      <w:ind w:left="833" w:hanging="357"/>
      <w:outlineLvl w:val="3"/>
    </w:pPr>
    <w:rPr>
      <w:b/>
      <w:i w:val="0"/>
      <w:sz w:val="20"/>
    </w:rPr>
  </w:style>
  <w:style w:type="paragraph" w:customStyle="1" w:styleId="OpiHi">
    <w:name w:val="Opi_H_i"/>
    <w:basedOn w:val="ECHRHeading4"/>
    <w:uiPriority w:val="44"/>
    <w:qFormat/>
    <w:rsid w:val="00067925"/>
    <w:pPr>
      <w:ind w:left="1037" w:hanging="357"/>
      <w:outlineLvl w:val="4"/>
    </w:pPr>
    <w:rPr>
      <w:b w:val="0"/>
      <w:i/>
    </w:rPr>
  </w:style>
  <w:style w:type="paragraph" w:customStyle="1" w:styleId="DummyStyle">
    <w:name w:val="Dummy_Style"/>
    <w:basedOn w:val="Normale"/>
    <w:semiHidden/>
    <w:qFormat/>
    <w:rsid w:val="00067925"/>
    <w:rPr>
      <w:color w:val="00B050"/>
    </w:rPr>
  </w:style>
  <w:style w:type="character" w:customStyle="1" w:styleId="ECHRParaChar">
    <w:name w:val="ECHR_Para Char"/>
    <w:aliases w:val="Ju_Para Char"/>
    <w:basedOn w:val="Carpredefinitoparagrafo"/>
    <w:link w:val="ECHRPara"/>
    <w:uiPriority w:val="12"/>
    <w:rsid w:val="006B4C8A"/>
    <w:rPr>
      <w:rFonts w:eastAsiaTheme="minorEastAsia"/>
      <w:sz w:val="24"/>
    </w:rPr>
  </w:style>
  <w:style w:type="character" w:customStyle="1" w:styleId="ju-005fpara--char">
    <w:name w:val="ju-005fpara--char"/>
    <w:basedOn w:val="Carpredefinitoparagrafo"/>
    <w:rsid w:val="006B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0398">
      <w:bodyDiv w:val="1"/>
      <w:marLeft w:val="0"/>
      <w:marRight w:val="0"/>
      <w:marTop w:val="0"/>
      <w:marBottom w:val="0"/>
      <w:divBdr>
        <w:top w:val="none" w:sz="0" w:space="0" w:color="auto"/>
        <w:left w:val="none" w:sz="0" w:space="0" w:color="auto"/>
        <w:bottom w:val="none" w:sz="0" w:space="0" w:color="auto"/>
        <w:right w:val="none" w:sz="0" w:space="0" w:color="auto"/>
      </w:divBdr>
      <w:divsChild>
        <w:div w:id="454250672">
          <w:marLeft w:val="0"/>
          <w:marRight w:val="0"/>
          <w:marTop w:val="0"/>
          <w:marBottom w:val="0"/>
          <w:divBdr>
            <w:top w:val="none" w:sz="0" w:space="0" w:color="auto"/>
            <w:left w:val="none" w:sz="0" w:space="0" w:color="auto"/>
            <w:bottom w:val="none" w:sz="0" w:space="0" w:color="auto"/>
            <w:right w:val="none" w:sz="0" w:space="0" w:color="auto"/>
          </w:divBdr>
          <w:divsChild>
            <w:div w:id="1638948654">
              <w:marLeft w:val="0"/>
              <w:marRight w:val="0"/>
              <w:marTop w:val="0"/>
              <w:marBottom w:val="0"/>
              <w:divBdr>
                <w:top w:val="none" w:sz="0" w:space="0" w:color="auto"/>
                <w:left w:val="none" w:sz="0" w:space="0" w:color="auto"/>
                <w:bottom w:val="none" w:sz="0" w:space="0" w:color="auto"/>
                <w:right w:val="none" w:sz="0" w:space="0" w:color="auto"/>
              </w:divBdr>
              <w:divsChild>
                <w:div w:id="1992323606">
                  <w:marLeft w:val="0"/>
                  <w:marRight w:val="0"/>
                  <w:marTop w:val="0"/>
                  <w:marBottom w:val="0"/>
                  <w:divBdr>
                    <w:top w:val="none" w:sz="0" w:space="0" w:color="auto"/>
                    <w:left w:val="none" w:sz="0" w:space="0" w:color="auto"/>
                    <w:bottom w:val="none" w:sz="0" w:space="0" w:color="auto"/>
                    <w:right w:val="none" w:sz="0" w:space="0" w:color="auto"/>
                  </w:divBdr>
                  <w:divsChild>
                    <w:div w:id="1434132829">
                      <w:marLeft w:val="0"/>
                      <w:marRight w:val="0"/>
                      <w:marTop w:val="0"/>
                      <w:marBottom w:val="0"/>
                      <w:divBdr>
                        <w:top w:val="none" w:sz="0" w:space="0" w:color="auto"/>
                        <w:left w:val="none" w:sz="0" w:space="0" w:color="auto"/>
                        <w:bottom w:val="none" w:sz="0" w:space="0" w:color="auto"/>
                        <w:right w:val="none" w:sz="0" w:space="0" w:color="auto"/>
                      </w:divBdr>
                      <w:divsChild>
                        <w:div w:id="571820453">
                          <w:marLeft w:val="0"/>
                          <w:marRight w:val="0"/>
                          <w:marTop w:val="0"/>
                          <w:marBottom w:val="0"/>
                          <w:divBdr>
                            <w:top w:val="none" w:sz="0" w:space="0" w:color="auto"/>
                            <w:left w:val="none" w:sz="0" w:space="0" w:color="auto"/>
                            <w:bottom w:val="none" w:sz="0" w:space="0" w:color="auto"/>
                            <w:right w:val="none" w:sz="0" w:space="0" w:color="auto"/>
                          </w:divBdr>
                          <w:divsChild>
                            <w:div w:id="13099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5F9D-51E4-4668-96DB-9DEB24124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CCF091-D3F2-43F3-BBE1-981F36D89C7E}">
  <ds:schemaRefs>
    <ds:schemaRef ds:uri="http://schemas.microsoft.com/sharepoint/v3/contenttype/forms"/>
  </ds:schemaRefs>
</ds:datastoreItem>
</file>

<file path=customXml/itemProps3.xml><?xml version="1.0" encoding="utf-8"?>
<ds:datastoreItem xmlns:ds="http://schemas.openxmlformats.org/officeDocument/2006/customXml" ds:itemID="{C8B30AEF-D4DE-4AD7-A9DE-C38E422AF1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D2328-643F-44D9-BA4B-0B4E3F86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6226</Words>
  <Characters>35491</Characters>
  <Application>Microsoft Office Word</Application>
  <DocSecurity>0</DocSecurity>
  <Lines>295</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2016-07-21T08:29:00Z</dcterms:created>
  <dcterms:modified xsi:type="dcterms:W3CDTF">2016-07-21T08:29:00Z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